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8A8D8" w14:textId="77777777" w:rsidR="00803047" w:rsidRPr="0079220C" w:rsidRDefault="002B102A" w:rsidP="002B1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0C">
        <w:rPr>
          <w:rFonts w:ascii="Times New Roman" w:hAnsi="Times New Roman" w:cs="Times New Roman"/>
          <w:b/>
          <w:sz w:val="24"/>
          <w:szCs w:val="24"/>
        </w:rPr>
        <w:t>Emerging Writer Worksheet</w:t>
      </w:r>
    </w:p>
    <w:p w14:paraId="7AF9BB0B" w14:textId="77777777" w:rsidR="00112C71" w:rsidRPr="0079220C" w:rsidRDefault="00112C71" w:rsidP="00803047">
      <w:pPr>
        <w:rPr>
          <w:rFonts w:ascii="Times New Roman" w:hAnsi="Times New Roman" w:cs="Times New Roman"/>
          <w:sz w:val="24"/>
          <w:szCs w:val="24"/>
        </w:rPr>
      </w:pPr>
    </w:p>
    <w:p w14:paraId="598992E0" w14:textId="2D3A0D40" w:rsidR="002B102A" w:rsidRPr="0079220C" w:rsidRDefault="002B102A" w:rsidP="0080519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9220C">
        <w:rPr>
          <w:rFonts w:ascii="Times New Roman" w:hAnsi="Times New Roman" w:cs="Times New Roman"/>
          <w:b/>
          <w:sz w:val="24"/>
          <w:szCs w:val="24"/>
        </w:rPr>
        <w:t>Thematic Matrix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14"/>
        <w:gridCol w:w="3215"/>
        <w:gridCol w:w="2921"/>
      </w:tblGrid>
      <w:tr w:rsidR="003D394B" w:rsidRPr="0079220C" w14:paraId="54DE36F9" w14:textId="77777777" w:rsidTr="003D394B">
        <w:tc>
          <w:tcPr>
            <w:tcW w:w="1719" w:type="pct"/>
          </w:tcPr>
          <w:p w14:paraId="4F148DE5" w14:textId="77777777" w:rsidR="003D394B" w:rsidRPr="00847A71" w:rsidRDefault="00112C71" w:rsidP="00362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Coffman, Putman, Adkisson, Kriner, </w:t>
            </w:r>
            <w:r w:rsidR="0079220C"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Monaghan (2016)</w:t>
            </w:r>
          </w:p>
        </w:tc>
        <w:tc>
          <w:tcPr>
            <w:tcW w:w="1719" w:type="pct"/>
          </w:tcPr>
          <w:p w14:paraId="62946F1E" w14:textId="77777777" w:rsidR="003D394B" w:rsidRPr="00847A71" w:rsidRDefault="003D394B" w:rsidP="00362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Garcia </w:t>
            </w:r>
            <w:r w:rsidR="0079220C"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Yao (2019)</w:t>
            </w:r>
          </w:p>
        </w:tc>
        <w:tc>
          <w:tcPr>
            <w:tcW w:w="1562" w:type="pct"/>
          </w:tcPr>
          <w:p w14:paraId="7377C56F" w14:textId="77777777" w:rsidR="003D394B" w:rsidRPr="00847A71" w:rsidRDefault="003D394B" w:rsidP="00362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Inouye </w:t>
            </w:r>
            <w:r w:rsidR="0079220C"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84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McAlpine (2017)</w:t>
            </w:r>
          </w:p>
        </w:tc>
      </w:tr>
      <w:tr w:rsidR="00C91546" w:rsidRPr="0079220C" w14:paraId="610AB416" w14:textId="77777777" w:rsidTr="003D394B">
        <w:tc>
          <w:tcPr>
            <w:tcW w:w="1719" w:type="pct"/>
          </w:tcPr>
          <w:p w14:paraId="6BEFCDD7" w14:textId="2FE753A8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32">
              <w:rPr>
                <w:rFonts w:ascii="Times New Roman" w:hAnsi="Times New Roman" w:cs="Times New Roman"/>
                <w:sz w:val="24"/>
                <w:szCs w:val="24"/>
              </w:rPr>
              <w:t>Identity of doctoral students</w:t>
            </w:r>
          </w:p>
        </w:tc>
        <w:tc>
          <w:tcPr>
            <w:tcW w:w="1719" w:type="pct"/>
          </w:tcPr>
          <w:p w14:paraId="69B893B5" w14:textId="79984796" w:rsidR="00C91546" w:rsidRPr="0079220C" w:rsidRDefault="007408FE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Scholarly identity</w:t>
            </w:r>
          </w:p>
        </w:tc>
        <w:tc>
          <w:tcPr>
            <w:tcW w:w="1562" w:type="pct"/>
          </w:tcPr>
          <w:p w14:paraId="69078874" w14:textId="115126E4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Scholarly identity</w:t>
            </w:r>
          </w:p>
        </w:tc>
      </w:tr>
      <w:tr w:rsidR="00C91546" w:rsidRPr="0079220C" w14:paraId="37F30BF3" w14:textId="77777777" w:rsidTr="003D394B">
        <w:tc>
          <w:tcPr>
            <w:tcW w:w="1719" w:type="pct"/>
          </w:tcPr>
          <w:p w14:paraId="72ABAA0C" w14:textId="6C4E5DC4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32">
              <w:rPr>
                <w:rFonts w:ascii="Times New Roman" w:hAnsi="Times New Roman" w:cs="Times New Roman"/>
                <w:sz w:val="24"/>
                <w:szCs w:val="24"/>
              </w:rPr>
              <w:t>Refinement of identity</w:t>
            </w:r>
          </w:p>
        </w:tc>
        <w:tc>
          <w:tcPr>
            <w:tcW w:w="1719" w:type="pct"/>
          </w:tcPr>
          <w:p w14:paraId="3EA78A71" w14:textId="30159DAC" w:rsidR="00C91546" w:rsidRPr="0079220C" w:rsidRDefault="007408FE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Doctoral success</w:t>
            </w:r>
          </w:p>
        </w:tc>
        <w:tc>
          <w:tcPr>
            <w:tcW w:w="1562" w:type="pct"/>
          </w:tcPr>
          <w:p w14:paraId="3C76E319" w14:textId="714DAE66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Doctoral writing</w:t>
            </w:r>
          </w:p>
        </w:tc>
      </w:tr>
      <w:tr w:rsidR="00C91546" w:rsidRPr="0079220C" w14:paraId="4D5FC2D1" w14:textId="77777777" w:rsidTr="003D394B">
        <w:tc>
          <w:tcPr>
            <w:tcW w:w="1719" w:type="pct"/>
          </w:tcPr>
          <w:p w14:paraId="021E4944" w14:textId="47BBC4DD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Scholars </w:t>
            </w:r>
          </w:p>
        </w:tc>
        <w:tc>
          <w:tcPr>
            <w:tcW w:w="1719" w:type="pct"/>
          </w:tcPr>
          <w:p w14:paraId="5EED5CF7" w14:textId="7FDC75DF" w:rsidR="00C91546" w:rsidRPr="0079220C" w:rsidRDefault="007408FE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Doctoral education</w:t>
            </w:r>
          </w:p>
        </w:tc>
        <w:tc>
          <w:tcPr>
            <w:tcW w:w="1562" w:type="pct"/>
          </w:tcPr>
          <w:p w14:paraId="53145077" w14:textId="4C287A63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Feedback</w:t>
            </w:r>
          </w:p>
        </w:tc>
      </w:tr>
      <w:tr w:rsidR="00C91546" w:rsidRPr="0079220C" w14:paraId="380C7AB7" w14:textId="77777777" w:rsidTr="003D394B">
        <w:tc>
          <w:tcPr>
            <w:tcW w:w="1719" w:type="pct"/>
          </w:tcPr>
          <w:p w14:paraId="6DC1A0BE" w14:textId="7095BABB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532">
              <w:rPr>
                <w:rFonts w:ascii="Times New Roman" w:hAnsi="Times New Roman" w:cs="Times New Roman"/>
                <w:sz w:val="24"/>
                <w:szCs w:val="24"/>
              </w:rPr>
              <w:t xml:space="preserve">CoP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(Community of Practice) </w:t>
            </w:r>
          </w:p>
        </w:tc>
        <w:tc>
          <w:tcPr>
            <w:tcW w:w="1719" w:type="pct"/>
          </w:tcPr>
          <w:p w14:paraId="38408A8A" w14:textId="7DC4EA9C" w:rsidR="00C91546" w:rsidRPr="0079220C" w:rsidRDefault="004242D7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</w:p>
        </w:tc>
        <w:tc>
          <w:tcPr>
            <w:tcW w:w="1562" w:type="pct"/>
          </w:tcPr>
          <w:p w14:paraId="1F0FB12B" w14:textId="47EC0134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Supervision</w:t>
            </w:r>
          </w:p>
        </w:tc>
      </w:tr>
      <w:tr w:rsidR="00C91546" w:rsidRPr="0079220C" w14:paraId="0646438C" w14:textId="77777777" w:rsidTr="003D394B">
        <w:tc>
          <w:tcPr>
            <w:tcW w:w="1719" w:type="pct"/>
          </w:tcPr>
          <w:p w14:paraId="51CC8BE1" w14:textId="110F625B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(self-confidence) </w:t>
            </w:r>
          </w:p>
        </w:tc>
        <w:tc>
          <w:tcPr>
            <w:tcW w:w="1719" w:type="pct"/>
          </w:tcPr>
          <w:p w14:paraId="2F1F28EE" w14:textId="72F06D3F" w:rsidR="00C91546" w:rsidRPr="0079220C" w:rsidRDefault="004242D7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</w:p>
        </w:tc>
        <w:tc>
          <w:tcPr>
            <w:tcW w:w="1562" w:type="pct"/>
          </w:tcPr>
          <w:p w14:paraId="59720568" w14:textId="43F70E8B" w:rsidR="00C91546" w:rsidRPr="0079220C" w:rsidRDefault="00C91546" w:rsidP="000B7D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Scholars</w:t>
            </w:r>
          </w:p>
        </w:tc>
      </w:tr>
    </w:tbl>
    <w:p w14:paraId="0DCAD9A2" w14:textId="77777777" w:rsidR="00275719" w:rsidRDefault="00275719" w:rsidP="00362129">
      <w:pPr>
        <w:rPr>
          <w:rFonts w:ascii="Times New Roman" w:hAnsi="Times New Roman" w:cs="Times New Roman"/>
          <w:sz w:val="24"/>
          <w:szCs w:val="24"/>
        </w:rPr>
      </w:pPr>
    </w:p>
    <w:p w14:paraId="1680BD8F" w14:textId="346E384F" w:rsidR="00803047" w:rsidRPr="0079220C" w:rsidRDefault="00803047" w:rsidP="000B7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Theme 1:</w:t>
      </w:r>
      <w:r w:rsidR="00124F0C">
        <w:rPr>
          <w:rFonts w:ascii="Times New Roman" w:hAnsi="Times New Roman" w:cs="Times New Roman"/>
          <w:sz w:val="24"/>
          <w:szCs w:val="24"/>
        </w:rPr>
        <w:t xml:space="preserve"> Identity</w:t>
      </w:r>
    </w:p>
    <w:p w14:paraId="63F4CDCB" w14:textId="50360051" w:rsidR="00803047" w:rsidRPr="0079220C" w:rsidRDefault="00803047" w:rsidP="000B7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Theme 2:</w:t>
      </w:r>
      <w:r w:rsidR="00124F0C">
        <w:rPr>
          <w:rFonts w:ascii="Times New Roman" w:hAnsi="Times New Roman" w:cs="Times New Roman"/>
          <w:sz w:val="24"/>
          <w:szCs w:val="24"/>
        </w:rPr>
        <w:t xml:space="preserve"> </w:t>
      </w:r>
      <w:r w:rsidR="009E4CA8">
        <w:rPr>
          <w:rFonts w:ascii="Times New Roman" w:hAnsi="Times New Roman" w:cs="Times New Roman"/>
          <w:sz w:val="24"/>
          <w:szCs w:val="24"/>
        </w:rPr>
        <w:t>Doctoral experience</w:t>
      </w:r>
    </w:p>
    <w:p w14:paraId="4187E373" w14:textId="77777777" w:rsidR="00803047" w:rsidRPr="0079220C" w:rsidRDefault="00803047" w:rsidP="000B7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43B105" w14:textId="77777777" w:rsidR="001976EB" w:rsidRDefault="001976EB" w:rsidP="000B7D52">
      <w:pPr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5B70DB" w14:textId="27C33E8F" w:rsidR="00753B65" w:rsidRPr="0079220C" w:rsidRDefault="00803047" w:rsidP="0079220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220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Finding Evidence to Support Themes</w:t>
      </w:r>
    </w:p>
    <w:p w14:paraId="74BDD0E2" w14:textId="77777777" w:rsidR="00803047" w:rsidRPr="0079220C" w:rsidRDefault="00803047" w:rsidP="008030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6925"/>
      </w:tblGrid>
      <w:tr w:rsidR="00E46E38" w:rsidRPr="0079220C" w14:paraId="2637B795" w14:textId="77777777" w:rsidTr="00755F11">
        <w:trPr>
          <w:jc w:val="center"/>
        </w:trPr>
        <w:tc>
          <w:tcPr>
            <w:tcW w:w="1297" w:type="pct"/>
            <w:shd w:val="clear" w:color="auto" w:fill="F2F2F2"/>
            <w:vAlign w:val="center"/>
          </w:tcPr>
          <w:p w14:paraId="31036FF4" w14:textId="77777777" w:rsidR="00E46E38" w:rsidRPr="0079220C" w:rsidRDefault="00E46E38" w:rsidP="00755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b/>
                <w:sz w:val="24"/>
                <w:szCs w:val="24"/>
              </w:rPr>
              <w:t>Theme One:</w:t>
            </w:r>
          </w:p>
        </w:tc>
        <w:tc>
          <w:tcPr>
            <w:tcW w:w="3703" w:type="pct"/>
            <w:shd w:val="clear" w:color="auto" w:fill="F2F2F2"/>
          </w:tcPr>
          <w:p w14:paraId="6BEAB53C" w14:textId="0BE5EA03" w:rsidR="00E46E38" w:rsidRPr="0079220C" w:rsidRDefault="00E50676" w:rsidP="0004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2457">
              <w:rPr>
                <w:rFonts w:ascii="Times New Roman" w:hAnsi="Times New Roman" w:cs="Times New Roman"/>
                <w:b/>
                <w:sz w:val="24"/>
                <w:szCs w:val="24"/>
              </w:rPr>
              <w:t>Identity</w:t>
            </w:r>
          </w:p>
        </w:tc>
      </w:tr>
      <w:tr w:rsidR="003D394B" w:rsidRPr="0079220C" w14:paraId="117CF42C" w14:textId="77777777" w:rsidTr="00491AD7">
        <w:trPr>
          <w:trHeight w:val="1008"/>
          <w:jc w:val="center"/>
        </w:trPr>
        <w:tc>
          <w:tcPr>
            <w:tcW w:w="1297" w:type="pct"/>
          </w:tcPr>
          <w:p w14:paraId="428AA17A" w14:textId="77777777" w:rsidR="003D394B" w:rsidRPr="0079220C" w:rsidRDefault="0079220C" w:rsidP="003D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Coffman, Putman, Adkisson, Kriner,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 Monaghan (2016)</w:t>
            </w:r>
          </w:p>
        </w:tc>
        <w:tc>
          <w:tcPr>
            <w:tcW w:w="3703" w:type="pct"/>
          </w:tcPr>
          <w:p w14:paraId="5DEF8D46" w14:textId="67B723AE" w:rsidR="003D394B" w:rsidRDefault="006D7777" w:rsidP="009E4CA8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77">
              <w:rPr>
                <w:rFonts w:ascii="Times New Roman" w:hAnsi="Times New Roman" w:cs="Times New Roman"/>
                <w:sz w:val="24"/>
                <w:szCs w:val="24"/>
              </w:rPr>
              <w:t xml:space="preserve">Doctoral identity is a function of </w:t>
            </w:r>
            <w:r w:rsidR="009E4CA8" w:rsidRPr="006D7777">
              <w:rPr>
                <w:rFonts w:ascii="Times New Roman" w:hAnsi="Times New Roman" w:cs="Times New Roman"/>
                <w:sz w:val="24"/>
                <w:szCs w:val="24"/>
              </w:rPr>
              <w:t>education,</w:t>
            </w:r>
            <w:r w:rsidRPr="006D7777">
              <w:rPr>
                <w:rFonts w:ascii="Times New Roman" w:hAnsi="Times New Roman" w:cs="Times New Roman"/>
                <w:sz w:val="24"/>
                <w:szCs w:val="24"/>
              </w:rPr>
              <w:t xml:space="preserve"> experience, published research, conference presentations, and all that researchers possess in their mind as scholars or experts.</w:t>
            </w:r>
          </w:p>
          <w:p w14:paraId="26AF5C8A" w14:textId="77777777" w:rsidR="006D7777" w:rsidRDefault="006D7777" w:rsidP="009E4CA8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77">
              <w:rPr>
                <w:rFonts w:ascii="Times New Roman" w:hAnsi="Times New Roman" w:cs="Times New Roman"/>
                <w:sz w:val="24"/>
                <w:szCs w:val="24"/>
              </w:rPr>
              <w:t>Identity formation plays a large part in how graduate</w:t>
            </w:r>
            <w:r w:rsidRPr="006D7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77">
              <w:rPr>
                <w:rFonts w:ascii="Times New Roman" w:hAnsi="Times New Roman" w:cs="Times New Roman"/>
                <w:sz w:val="24"/>
                <w:szCs w:val="24"/>
              </w:rPr>
              <w:t>students, as adult learners, go from a position of seeing</w:t>
            </w:r>
            <w:r w:rsidRPr="006D7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77">
              <w:rPr>
                <w:rFonts w:ascii="Times New Roman" w:hAnsi="Times New Roman" w:cs="Times New Roman"/>
                <w:sz w:val="24"/>
                <w:szCs w:val="24"/>
              </w:rPr>
              <w:t>themselves as students to seeing themselves as scholars.</w:t>
            </w:r>
          </w:p>
          <w:p w14:paraId="48F8F287" w14:textId="596AC9B1" w:rsidR="006D7777" w:rsidRPr="003A293A" w:rsidRDefault="006D7777" w:rsidP="009E4CA8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93A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3A293A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="00AA7AF7">
              <w:rPr>
                <w:rFonts w:ascii="Times New Roman" w:hAnsi="Times New Roman" w:cs="Times New Roman"/>
                <w:sz w:val="24"/>
                <w:szCs w:val="24"/>
              </w:rPr>
              <w:t xml:space="preserve"> seek</w:t>
            </w:r>
            <w:r w:rsidRPr="003A293A">
              <w:rPr>
                <w:rFonts w:ascii="Times New Roman" w:hAnsi="Times New Roman" w:cs="Times New Roman"/>
                <w:sz w:val="24"/>
                <w:szCs w:val="24"/>
              </w:rPr>
              <w:t xml:space="preserve"> to hone their skills by mutually engaging with other learners of varied experience within the context of</w:t>
            </w:r>
            <w:r w:rsidRPr="003A293A">
              <w:rPr>
                <w:rFonts w:ascii="Times New Roman" w:hAnsi="Times New Roman" w:cs="Times New Roman"/>
                <w:sz w:val="24"/>
                <w:szCs w:val="24"/>
              </w:rPr>
              <w:t xml:space="preserve"> classes and social gatherings, their identity and they become competent in their professional skills</w:t>
            </w:r>
            <w:r w:rsidR="00F301E3" w:rsidRPr="003A2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94B" w:rsidRPr="0079220C" w14:paraId="2963F906" w14:textId="77777777" w:rsidTr="003723AC">
        <w:trPr>
          <w:trHeight w:val="1232"/>
          <w:jc w:val="center"/>
        </w:trPr>
        <w:tc>
          <w:tcPr>
            <w:tcW w:w="1297" w:type="pct"/>
          </w:tcPr>
          <w:p w14:paraId="01AFE845" w14:textId="77777777" w:rsidR="003D394B" w:rsidRPr="0079220C" w:rsidRDefault="003D394B" w:rsidP="003D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Garcia </w:t>
            </w:r>
            <w:r w:rsidR="0079220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 Yao (2019)</w:t>
            </w:r>
          </w:p>
        </w:tc>
        <w:tc>
          <w:tcPr>
            <w:tcW w:w="3703" w:type="pct"/>
          </w:tcPr>
          <w:p w14:paraId="59FDA484" w14:textId="77777777" w:rsidR="003D394B" w:rsidRPr="00CC5D33" w:rsidRDefault="00CC5D33" w:rsidP="009E4CA8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D33">
              <w:rPr>
                <w:rFonts w:ascii="Times New Roman" w:hAnsi="Times New Roman" w:cs="Times New Roman"/>
                <w:sz w:val="24"/>
                <w:szCs w:val="24"/>
              </w:rPr>
              <w:t xml:space="preserve">As doctoral students learn to conduct research, they hone their </w:t>
            </w:r>
            <w:r w:rsidRPr="00CC5D33">
              <w:rPr>
                <w:rFonts w:ascii="Times New Roman" w:hAnsi="Times New Roman" w:cs="Times New Roman"/>
                <w:sz w:val="24"/>
                <w:szCs w:val="24"/>
              </w:rPr>
              <w:t xml:space="preserve">writing skills </w:t>
            </w:r>
            <w:r w:rsidRPr="00CC5D33">
              <w:rPr>
                <w:rFonts w:ascii="Times New Roman" w:hAnsi="Times New Roman" w:cs="Times New Roman"/>
                <w:sz w:val="24"/>
                <w:szCs w:val="24"/>
              </w:rPr>
              <w:t xml:space="preserve">which is imperative in helping </w:t>
            </w:r>
            <w:r w:rsidRPr="00CC5D33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r w:rsidRPr="00CC5D33">
              <w:rPr>
                <w:rFonts w:ascii="Times New Roman" w:hAnsi="Times New Roman" w:cs="Times New Roman"/>
                <w:sz w:val="24"/>
                <w:szCs w:val="24"/>
              </w:rPr>
              <w:t xml:space="preserve"> their identity as scholars.</w:t>
            </w:r>
          </w:p>
          <w:p w14:paraId="546E5FF4" w14:textId="35BCA82B" w:rsidR="00CC5D33" w:rsidRPr="00686D98" w:rsidRDefault="00CC5D33" w:rsidP="009E4CA8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6D98">
              <w:rPr>
                <w:rFonts w:ascii="Times New Roman" w:hAnsi="Times New Roman" w:cs="Times New Roman"/>
                <w:sz w:val="24"/>
                <w:szCs w:val="24"/>
              </w:rPr>
              <w:t>t is imperative to better understand how education doctoral students make sense of their identity and role within their new online scholarly community in order to better support their scholarly identity development</w:t>
            </w:r>
            <w:r w:rsidRPr="00686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94B" w:rsidRPr="0079220C" w14:paraId="716332CF" w14:textId="77777777" w:rsidTr="00EF4BF6">
        <w:trPr>
          <w:trHeight w:val="1205"/>
          <w:jc w:val="center"/>
        </w:trPr>
        <w:tc>
          <w:tcPr>
            <w:tcW w:w="1297" w:type="pct"/>
          </w:tcPr>
          <w:p w14:paraId="7B551C70" w14:textId="77777777" w:rsidR="003D394B" w:rsidRPr="0079220C" w:rsidRDefault="003D394B" w:rsidP="003D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Inouye </w:t>
            </w:r>
            <w:r w:rsidR="0079220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 McAlpine (2017)</w:t>
            </w:r>
          </w:p>
        </w:tc>
        <w:tc>
          <w:tcPr>
            <w:tcW w:w="3703" w:type="pct"/>
          </w:tcPr>
          <w:p w14:paraId="6CCBFAEF" w14:textId="77777777" w:rsidR="003D394B" w:rsidRDefault="00CC5D33" w:rsidP="009E4CA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>Composing the thesis, a process that involves writing, research, feedback and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 xml:space="preserve">revision, allows students to learn to 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>situate themselves as scholars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>establish scholarly identity</w:t>
            </w:r>
            <w:r w:rsidR="00F16016" w:rsidRPr="0004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30FCE9" w14:textId="3F400000" w:rsidR="00040712" w:rsidRPr="00040712" w:rsidRDefault="00040712" w:rsidP="009E4CA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>riting is a major site of scholarly identity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development, and 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>doctoral students acquire self-assessment skills and gain confidence in their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712">
              <w:rPr>
                <w:rFonts w:ascii="Times New Roman" w:hAnsi="Times New Roman" w:cs="Times New Roman"/>
                <w:sz w:val="24"/>
                <w:szCs w:val="24"/>
              </w:rPr>
              <w:t>scholarly identities through giving and rece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iving feedback in peer groups</w:t>
            </w:r>
            <w:r w:rsidR="00630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E38" w:rsidRPr="0079220C" w14:paraId="302C5D78" w14:textId="77777777" w:rsidTr="00755F11">
        <w:trPr>
          <w:trHeight w:val="1205"/>
          <w:jc w:val="center"/>
        </w:trPr>
        <w:tc>
          <w:tcPr>
            <w:tcW w:w="1297" w:type="pct"/>
            <w:vAlign w:val="center"/>
          </w:tcPr>
          <w:p w14:paraId="05A129F0" w14:textId="77777777" w:rsidR="00E46E38" w:rsidRPr="0079220C" w:rsidRDefault="00E46E38" w:rsidP="00E4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Synthesize</w:t>
            </w:r>
          </w:p>
        </w:tc>
        <w:tc>
          <w:tcPr>
            <w:tcW w:w="3703" w:type="pct"/>
          </w:tcPr>
          <w:p w14:paraId="054EFD8B" w14:textId="27CADB66" w:rsidR="00386544" w:rsidRDefault="00386544" w:rsidP="009E4C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Identity is key in fostering the role of research to handle independent research and cultivating </w:t>
            </w:r>
            <w:r w:rsidR="009E4CA8">
              <w:rPr>
                <w:rFonts w:ascii="Times New Roman" w:hAnsi="Times New Roman" w:cs="Times New Roman"/>
                <w:sz w:val="24"/>
                <w:szCs w:val="24"/>
              </w:rPr>
              <w:t xml:space="preserve">self-efficacy in their capabilities.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particular point to note is the significance of writing in helping the researcher gain experience and develop the identity of a scholar.</w:t>
            </w:r>
          </w:p>
          <w:p w14:paraId="034E8BCF" w14:textId="77777777" w:rsidR="003A7405" w:rsidRDefault="003A7405" w:rsidP="009E4C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7DAF" w14:textId="645EFC13" w:rsidR="00090970" w:rsidRPr="0079220C" w:rsidRDefault="003A7405" w:rsidP="009E4C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Topic Sentence: </w:t>
            </w:r>
            <w:r w:rsidR="00090970">
              <w:rPr>
                <w:rFonts w:ascii="Times New Roman" w:hAnsi="Times New Roman" w:cs="Times New Roman"/>
                <w:sz w:val="24"/>
                <w:szCs w:val="24"/>
              </w:rPr>
              <w:t xml:space="preserve">Honing their research writing skills through varied experience and  constructive peer and </w:t>
            </w:r>
            <w:r w:rsidR="009E4CA8">
              <w:rPr>
                <w:rFonts w:ascii="Times New Roman" w:hAnsi="Times New Roman" w:cs="Times New Roman"/>
                <w:sz w:val="24"/>
                <w:szCs w:val="24"/>
              </w:rPr>
              <w:t>supervisory</w:t>
            </w:r>
            <w:r w:rsidR="00090970">
              <w:rPr>
                <w:rFonts w:ascii="Times New Roman" w:hAnsi="Times New Roman" w:cs="Times New Roman"/>
                <w:sz w:val="24"/>
                <w:szCs w:val="24"/>
              </w:rPr>
              <w:t xml:space="preserve"> feedback </w:t>
            </w:r>
            <w:r w:rsidR="000F67F5">
              <w:rPr>
                <w:rFonts w:ascii="Times New Roman" w:hAnsi="Times New Roman" w:cs="Times New Roman"/>
                <w:sz w:val="24"/>
                <w:szCs w:val="24"/>
              </w:rPr>
              <w:t xml:space="preserve"> aligns doctoral students to the conventional </w:t>
            </w:r>
            <w:r w:rsidR="00090970">
              <w:rPr>
                <w:rFonts w:ascii="Times New Roman" w:hAnsi="Times New Roman" w:cs="Times New Roman"/>
                <w:sz w:val="24"/>
                <w:szCs w:val="24"/>
              </w:rPr>
              <w:t>scholarly identity.</w:t>
            </w:r>
          </w:p>
        </w:tc>
      </w:tr>
      <w:tr w:rsidR="00E46E38" w:rsidRPr="0079220C" w14:paraId="397F15EE" w14:textId="77777777" w:rsidTr="00755F11">
        <w:trPr>
          <w:trHeight w:val="274"/>
          <w:jc w:val="center"/>
        </w:trPr>
        <w:tc>
          <w:tcPr>
            <w:tcW w:w="1297" w:type="pct"/>
            <w:shd w:val="clear" w:color="auto" w:fill="F2F2F2"/>
            <w:vAlign w:val="center"/>
          </w:tcPr>
          <w:p w14:paraId="310A9598" w14:textId="77777777" w:rsidR="00E46E38" w:rsidRPr="0079220C" w:rsidRDefault="00E46E38" w:rsidP="00E4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b/>
                <w:sz w:val="24"/>
                <w:szCs w:val="24"/>
              </w:rPr>
              <w:t>Theme Two:</w:t>
            </w:r>
          </w:p>
        </w:tc>
        <w:tc>
          <w:tcPr>
            <w:tcW w:w="3703" w:type="pct"/>
            <w:shd w:val="clear" w:color="auto" w:fill="F2F2F2"/>
          </w:tcPr>
          <w:p w14:paraId="7E19A941" w14:textId="3D13A723" w:rsidR="00E46E38" w:rsidRPr="0079220C" w:rsidRDefault="006D7777" w:rsidP="000470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Doctoral </w:t>
            </w:r>
            <w:r w:rsidR="000470D0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</w:tc>
      </w:tr>
      <w:tr w:rsidR="003D394B" w:rsidRPr="0079220C" w14:paraId="21FD6F10" w14:textId="77777777" w:rsidTr="00985A14">
        <w:trPr>
          <w:trHeight w:val="1008"/>
          <w:jc w:val="center"/>
        </w:trPr>
        <w:tc>
          <w:tcPr>
            <w:tcW w:w="1297" w:type="pct"/>
          </w:tcPr>
          <w:p w14:paraId="5B7913EA" w14:textId="77777777" w:rsidR="003D394B" w:rsidRPr="0079220C" w:rsidRDefault="0079220C" w:rsidP="003D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Coffman, Putman, Adkisson, Kriner,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 Monaghan (2016)</w:t>
            </w:r>
          </w:p>
        </w:tc>
        <w:tc>
          <w:tcPr>
            <w:tcW w:w="3703" w:type="pct"/>
          </w:tcPr>
          <w:p w14:paraId="55472686" w14:textId="77777777" w:rsidR="003D394B" w:rsidRDefault="000E3205" w:rsidP="009E4CA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FC">
              <w:rPr>
                <w:rFonts w:ascii="Times New Roman" w:hAnsi="Times New Roman" w:cs="Times New Roman"/>
                <w:sz w:val="24"/>
                <w:szCs w:val="24"/>
              </w:rPr>
              <w:t>The process of becoming a</w:t>
            </w:r>
            <w:r w:rsidRPr="0022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BFC">
              <w:rPr>
                <w:rFonts w:ascii="Times New Roman" w:hAnsi="Times New Roman" w:cs="Times New Roman"/>
                <w:sz w:val="24"/>
                <w:szCs w:val="24"/>
              </w:rPr>
              <w:t>researcher and adopting a professional and scholarly</w:t>
            </w:r>
            <w:r w:rsidRPr="00221BFC">
              <w:rPr>
                <w:rFonts w:ascii="Times New Roman" w:hAnsi="Times New Roman" w:cs="Times New Roman"/>
                <w:sz w:val="24"/>
                <w:szCs w:val="24"/>
              </w:rPr>
              <w:t xml:space="preserve"> identity involves the experience and mastery of what it means to be a scholar and the competency of presenting research to groups of established scholars.</w:t>
            </w:r>
          </w:p>
          <w:p w14:paraId="7E1FB8B2" w14:textId="69291F80" w:rsidR="00221BFC" w:rsidRPr="00221BFC" w:rsidRDefault="00221BFC" w:rsidP="009E4CA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FC">
              <w:rPr>
                <w:rFonts w:ascii="Times New Roman" w:hAnsi="Times New Roman" w:cs="Times New Roman"/>
                <w:sz w:val="24"/>
                <w:szCs w:val="24"/>
              </w:rPr>
              <w:t xml:space="preserve">Scholars have special skill in their field emanating from what they have been taught or what they have experienced studying </w:t>
            </w:r>
            <w:r w:rsidRPr="00221BFC">
              <w:rPr>
                <w:rFonts w:ascii="Times New Roman" w:hAnsi="Times New Roman" w:cs="Times New Roman"/>
                <w:sz w:val="24"/>
                <w:szCs w:val="24"/>
              </w:rPr>
              <w:t>a subject for a long time and knows a lot about it</w:t>
            </w:r>
            <w:r w:rsidRPr="00221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94B" w:rsidRPr="0079220C" w14:paraId="3B2918EF" w14:textId="77777777" w:rsidTr="00985A14">
        <w:trPr>
          <w:trHeight w:val="1008"/>
          <w:jc w:val="center"/>
        </w:trPr>
        <w:tc>
          <w:tcPr>
            <w:tcW w:w="1297" w:type="pct"/>
          </w:tcPr>
          <w:p w14:paraId="129A8FF5" w14:textId="77777777" w:rsidR="003D394B" w:rsidRPr="0079220C" w:rsidRDefault="003D394B" w:rsidP="003D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Garcia </w:t>
            </w:r>
            <w:r w:rsidR="0079220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 Yao (2019)</w:t>
            </w:r>
          </w:p>
        </w:tc>
        <w:tc>
          <w:tcPr>
            <w:tcW w:w="3703" w:type="pct"/>
          </w:tcPr>
          <w:p w14:paraId="5132AA43" w14:textId="08820C9B" w:rsidR="003D394B" w:rsidRPr="005365B2" w:rsidRDefault="00333D2F" w:rsidP="009E4CA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 xml:space="preserve">The experience of research writing </w:t>
            </w:r>
            <w:r w:rsidR="00B60E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 xml:space="preserve">n the course of their doctoral education allow the students to work on their ideas, 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help them transition 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from the identity of a ‘good course-taker’ to</w:t>
            </w:r>
            <w:r w:rsidR="0053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that of an independent scholar</w:t>
            </w:r>
            <w:r w:rsidR="007D3E49" w:rsidRPr="0053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9166FF" w14:textId="1CFCBFDB" w:rsidR="00B2233C" w:rsidRPr="005365B2" w:rsidRDefault="00B2233C" w:rsidP="009E4CA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Being exposed to dissertations as a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culminating component of a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toral research experience help students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 xml:space="preserve"> to more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tangibly understand what to expect and also to strategize how they could focus in on a particular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5B2">
              <w:rPr>
                <w:rFonts w:ascii="Times New Roman" w:hAnsi="Times New Roman" w:cs="Times New Roman"/>
                <w:sz w:val="24"/>
                <w:szCs w:val="24"/>
              </w:rPr>
              <w:t>dissertation topic early on in their program</w:t>
            </w:r>
            <w:r w:rsidR="005365B2" w:rsidRPr="0053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94B" w:rsidRPr="0079220C" w14:paraId="0048F4FC" w14:textId="77777777" w:rsidTr="00985A14">
        <w:trPr>
          <w:trHeight w:val="1008"/>
          <w:jc w:val="center"/>
        </w:trPr>
        <w:tc>
          <w:tcPr>
            <w:tcW w:w="1297" w:type="pct"/>
          </w:tcPr>
          <w:p w14:paraId="32AE4990" w14:textId="77777777" w:rsidR="003D394B" w:rsidRPr="0079220C" w:rsidRDefault="003D394B" w:rsidP="003D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Inouye </w:t>
            </w:r>
            <w:r w:rsidR="0079220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 xml:space="preserve"> McAlpine (2017)</w:t>
            </w:r>
          </w:p>
        </w:tc>
        <w:tc>
          <w:tcPr>
            <w:tcW w:w="3703" w:type="pct"/>
          </w:tcPr>
          <w:p w14:paraId="6348F0C1" w14:textId="428BCF2E" w:rsidR="003D394B" w:rsidRPr="0079220C" w:rsidRDefault="003623A5" w:rsidP="009E4CA8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3A5">
              <w:rPr>
                <w:rFonts w:ascii="Times New Roman" w:hAnsi="Times New Roman" w:cs="Times New Roman"/>
                <w:sz w:val="24"/>
                <w:szCs w:val="24"/>
              </w:rPr>
              <w:t>For doctoral</w:t>
            </w:r>
            <w:r w:rsidRPr="00362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3A5">
              <w:rPr>
                <w:rFonts w:ascii="Times New Roman" w:hAnsi="Times New Roman" w:cs="Times New Roman"/>
                <w:sz w:val="24"/>
                <w:szCs w:val="24"/>
              </w:rPr>
              <w:t>students, there is evidence that peer writing groups may be useful in encouraging self-assessment</w:t>
            </w:r>
            <w:r w:rsidRPr="00362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3A5">
              <w:rPr>
                <w:rFonts w:ascii="Times New Roman" w:hAnsi="Times New Roman" w:cs="Times New Roman"/>
                <w:sz w:val="24"/>
                <w:szCs w:val="24"/>
              </w:rPr>
              <w:t>as students learn to position themselves by collectively building identities as writers and peer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3A5">
              <w:rPr>
                <w:rFonts w:ascii="Times New Roman" w:hAnsi="Times New Roman" w:cs="Times New Roman"/>
                <w:sz w:val="24"/>
                <w:szCs w:val="24"/>
              </w:rPr>
              <w:t>reviewers, and sharing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3A5">
              <w:rPr>
                <w:rFonts w:ascii="Times New Roman" w:hAnsi="Times New Roman" w:cs="Times New Roman"/>
                <w:sz w:val="24"/>
                <w:szCs w:val="24"/>
              </w:rPr>
              <w:t>experiences in pursuit of the common goal of producing quality 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E38" w:rsidRPr="0079220C" w14:paraId="54FCA51B" w14:textId="77777777" w:rsidTr="00755F11">
        <w:trPr>
          <w:trHeight w:val="1008"/>
          <w:jc w:val="center"/>
        </w:trPr>
        <w:tc>
          <w:tcPr>
            <w:tcW w:w="1297" w:type="pct"/>
            <w:vAlign w:val="center"/>
          </w:tcPr>
          <w:p w14:paraId="09EB04FF" w14:textId="77777777" w:rsidR="00E46E38" w:rsidRPr="0079220C" w:rsidRDefault="00E46E38" w:rsidP="00E4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0C">
              <w:rPr>
                <w:rFonts w:ascii="Times New Roman" w:hAnsi="Times New Roman" w:cs="Times New Roman"/>
                <w:sz w:val="24"/>
                <w:szCs w:val="24"/>
              </w:rPr>
              <w:t>Synthesize</w:t>
            </w:r>
          </w:p>
        </w:tc>
        <w:tc>
          <w:tcPr>
            <w:tcW w:w="3703" w:type="pct"/>
          </w:tcPr>
          <w:p w14:paraId="1DCB0C83" w14:textId="63488E1E" w:rsidR="00896E17" w:rsidRDefault="009E4CA8" w:rsidP="009E4C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Doctoral</w:t>
            </w:r>
            <w:r w:rsidR="008E77D2">
              <w:rPr>
                <w:rFonts w:ascii="Times New Roman" w:hAnsi="Times New Roman" w:cs="Times New Roman"/>
                <w:sz w:val="24"/>
                <w:szCs w:val="24"/>
              </w:rPr>
              <w:t xml:space="preserve"> experience through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constructive</w:t>
            </w:r>
            <w:r w:rsidR="008E77D2">
              <w:rPr>
                <w:rFonts w:ascii="Times New Roman" w:hAnsi="Times New Roman" w:cs="Times New Roman"/>
                <w:sz w:val="24"/>
                <w:szCs w:val="24"/>
              </w:rPr>
              <w:t xml:space="preserve"> fee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E77D2">
              <w:rPr>
                <w:rFonts w:ascii="Times New Roman" w:hAnsi="Times New Roman" w:cs="Times New Roman"/>
                <w:sz w:val="24"/>
                <w:szCs w:val="24"/>
              </w:rPr>
              <w:t xml:space="preserve">back and exposure to research ideas ensures that they transition from novice researchers to independent scholars. </w:t>
            </w:r>
            <w:r w:rsidR="007A352B">
              <w:rPr>
                <w:rFonts w:ascii="Times New Roman" w:hAnsi="Times New Roman" w:cs="Times New Roman"/>
                <w:sz w:val="24"/>
                <w:szCs w:val="24"/>
              </w:rPr>
              <w:t>They get exposed to varying levels of writing and analysis metrics that enable them to assess ideas from viewpoints that are too subtle for the layman eyes.</w:t>
            </w:r>
          </w:p>
          <w:p w14:paraId="182B6CE1" w14:textId="2D4065DF" w:rsidR="008E77D2" w:rsidRPr="0079220C" w:rsidRDefault="00896E17" w:rsidP="009E4C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Sentence: Through repeated exposure to dissertations and varying research writing approaches, doctoral students develop the capability to become reliable scholars.</w:t>
            </w:r>
            <w:r w:rsidR="008E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E38" w:rsidRPr="0079220C" w14:paraId="291C6525" w14:textId="77777777" w:rsidTr="00755F11">
        <w:trPr>
          <w:jc w:val="center"/>
        </w:trPr>
        <w:tc>
          <w:tcPr>
            <w:tcW w:w="1297" w:type="pct"/>
            <w:shd w:val="clear" w:color="auto" w:fill="F2F2F2"/>
            <w:vAlign w:val="center"/>
          </w:tcPr>
          <w:p w14:paraId="7B56E24C" w14:textId="77777777" w:rsidR="00E46E38" w:rsidRPr="0079220C" w:rsidRDefault="00E46E38" w:rsidP="00E4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pct"/>
            <w:shd w:val="clear" w:color="auto" w:fill="F2F2F2"/>
          </w:tcPr>
          <w:p w14:paraId="4F346BE7" w14:textId="77777777" w:rsidR="00E46E38" w:rsidRPr="0079220C" w:rsidRDefault="00E46E38" w:rsidP="00E4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10951" w14:textId="77777777" w:rsidR="00E46E38" w:rsidRPr="0079220C" w:rsidRDefault="00E46E38" w:rsidP="00E46E38">
      <w:pPr>
        <w:rPr>
          <w:rFonts w:ascii="Times New Roman" w:hAnsi="Times New Roman" w:cs="Times New Roman"/>
          <w:sz w:val="24"/>
          <w:szCs w:val="24"/>
        </w:rPr>
      </w:pPr>
    </w:p>
    <w:p w14:paraId="42AF5034" w14:textId="77777777" w:rsidR="00E46E38" w:rsidRPr="0079220C" w:rsidRDefault="00E46E38">
      <w:pPr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br w:type="page"/>
      </w:r>
    </w:p>
    <w:p w14:paraId="5AA4A452" w14:textId="77777777" w:rsidR="00803047" w:rsidRPr="0079220C" w:rsidRDefault="00803047" w:rsidP="0079220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220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Forming a Thesis Statement</w:t>
      </w:r>
    </w:p>
    <w:p w14:paraId="676F20E7" w14:textId="2CCEE727" w:rsidR="008650E4" w:rsidRDefault="008650E4" w:rsidP="008650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8688DB" w14:textId="77777777" w:rsidR="008650E4" w:rsidRPr="0079220C" w:rsidRDefault="008650E4" w:rsidP="008650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D09A4C" w14:textId="059251F8" w:rsidR="00E46E38" w:rsidRPr="006E05DD" w:rsidRDefault="00E46E38" w:rsidP="006E05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90A">
        <w:rPr>
          <w:rFonts w:ascii="Times New Roman" w:hAnsi="Times New Roman" w:cs="Times New Roman"/>
          <w:b/>
          <w:sz w:val="24"/>
          <w:szCs w:val="24"/>
        </w:rPr>
        <w:t>Topic sentence 1</w:t>
      </w:r>
      <w:r w:rsidR="0079220C" w:rsidRPr="0028790A">
        <w:rPr>
          <w:rFonts w:ascii="Times New Roman" w:hAnsi="Times New Roman" w:cs="Times New Roman"/>
          <w:b/>
          <w:sz w:val="24"/>
          <w:szCs w:val="24"/>
        </w:rPr>
        <w:t>:</w:t>
      </w:r>
      <w:r w:rsidR="006E05DD" w:rsidRPr="006E05DD">
        <w:rPr>
          <w:rFonts w:ascii="Times New Roman" w:hAnsi="Times New Roman" w:cs="Times New Roman"/>
          <w:sz w:val="24"/>
          <w:szCs w:val="24"/>
        </w:rPr>
        <w:t xml:space="preserve"> </w:t>
      </w:r>
      <w:r w:rsidR="006E05DD" w:rsidRPr="006E05DD">
        <w:rPr>
          <w:rFonts w:ascii="Times New Roman" w:hAnsi="Times New Roman" w:cs="Times New Roman"/>
          <w:sz w:val="24"/>
          <w:szCs w:val="24"/>
        </w:rPr>
        <w:t xml:space="preserve">Honing their research writing skills through varied experience </w:t>
      </w:r>
      <w:r w:rsidR="00B27AAC" w:rsidRPr="006E05DD">
        <w:rPr>
          <w:rFonts w:ascii="Times New Roman" w:hAnsi="Times New Roman" w:cs="Times New Roman"/>
          <w:sz w:val="24"/>
          <w:szCs w:val="24"/>
        </w:rPr>
        <w:t>and constructive</w:t>
      </w:r>
      <w:r w:rsidR="006E05DD" w:rsidRPr="006E05DD">
        <w:rPr>
          <w:rFonts w:ascii="Times New Roman" w:hAnsi="Times New Roman" w:cs="Times New Roman"/>
          <w:sz w:val="24"/>
          <w:szCs w:val="24"/>
        </w:rPr>
        <w:t xml:space="preserve"> peer and </w:t>
      </w:r>
      <w:r w:rsidR="009E4CA8" w:rsidRPr="006E05DD">
        <w:rPr>
          <w:rFonts w:ascii="Times New Roman" w:hAnsi="Times New Roman" w:cs="Times New Roman"/>
          <w:sz w:val="24"/>
          <w:szCs w:val="24"/>
        </w:rPr>
        <w:t>supervisory</w:t>
      </w:r>
      <w:r w:rsidR="006E05DD" w:rsidRPr="006E05DD">
        <w:rPr>
          <w:rFonts w:ascii="Times New Roman" w:hAnsi="Times New Roman" w:cs="Times New Roman"/>
          <w:sz w:val="24"/>
          <w:szCs w:val="24"/>
        </w:rPr>
        <w:t xml:space="preserve"> feedback aligns doctoral students to the conventional scholarly identity.</w:t>
      </w:r>
    </w:p>
    <w:p w14:paraId="7BBC3165" w14:textId="3C297B72" w:rsidR="00E46E38" w:rsidRPr="006E05DD" w:rsidRDefault="00E46E38" w:rsidP="006E05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90A">
        <w:rPr>
          <w:rFonts w:ascii="Times New Roman" w:hAnsi="Times New Roman" w:cs="Times New Roman"/>
          <w:b/>
          <w:sz w:val="24"/>
          <w:szCs w:val="24"/>
        </w:rPr>
        <w:t>Topic sentence 2</w:t>
      </w:r>
      <w:r w:rsidR="0079220C" w:rsidRPr="0028790A">
        <w:rPr>
          <w:rFonts w:ascii="Times New Roman" w:hAnsi="Times New Roman" w:cs="Times New Roman"/>
          <w:b/>
          <w:sz w:val="24"/>
          <w:szCs w:val="24"/>
        </w:rPr>
        <w:t>:</w:t>
      </w:r>
      <w:r w:rsidR="006E05DD" w:rsidRPr="006E05DD">
        <w:rPr>
          <w:rFonts w:ascii="Times New Roman" w:hAnsi="Times New Roman" w:cs="Times New Roman"/>
          <w:sz w:val="24"/>
          <w:szCs w:val="24"/>
        </w:rPr>
        <w:t xml:space="preserve"> </w:t>
      </w:r>
      <w:r w:rsidR="006E05DD" w:rsidRPr="006E05DD">
        <w:rPr>
          <w:rFonts w:ascii="Times New Roman" w:hAnsi="Times New Roman" w:cs="Times New Roman"/>
          <w:sz w:val="24"/>
          <w:szCs w:val="24"/>
        </w:rPr>
        <w:t>Through repeated exposure to dissertations and varying research writing approaches, doctoral students develop the capability to become reliable scholars.</w:t>
      </w:r>
    </w:p>
    <w:p w14:paraId="10A67C46" w14:textId="128FB754" w:rsidR="0069701D" w:rsidRDefault="005A4C5E" w:rsidP="00287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90A">
        <w:rPr>
          <w:rFonts w:ascii="Times New Roman" w:hAnsi="Times New Roman" w:cs="Times New Roman"/>
          <w:b/>
          <w:sz w:val="24"/>
          <w:szCs w:val="24"/>
        </w:rPr>
        <w:t>Thesis Statement:</w:t>
      </w:r>
      <w:r>
        <w:rPr>
          <w:rFonts w:ascii="Times New Roman" w:hAnsi="Times New Roman" w:cs="Times New Roman"/>
          <w:sz w:val="24"/>
          <w:szCs w:val="24"/>
        </w:rPr>
        <w:t xml:space="preserve"> Doctoral students that hone their research writing skills through repeated exposure to </w:t>
      </w:r>
      <w:r w:rsidR="009E4CA8">
        <w:rPr>
          <w:rFonts w:ascii="Times New Roman" w:hAnsi="Times New Roman" w:cs="Times New Roman"/>
          <w:sz w:val="24"/>
          <w:szCs w:val="24"/>
        </w:rPr>
        <w:t>dissertations</w:t>
      </w:r>
      <w:r>
        <w:rPr>
          <w:rFonts w:ascii="Times New Roman" w:hAnsi="Times New Roman" w:cs="Times New Roman"/>
          <w:sz w:val="24"/>
          <w:szCs w:val="24"/>
        </w:rPr>
        <w:t xml:space="preserve"> are able to derive experiences that will transform their identity to independent scholars.</w:t>
      </w:r>
    </w:p>
    <w:p w14:paraId="65C86D63" w14:textId="55196BA5" w:rsidR="0069701D" w:rsidRDefault="0069701D" w:rsidP="00E46E38">
      <w:pPr>
        <w:rPr>
          <w:rFonts w:ascii="Times New Roman" w:hAnsi="Times New Roman" w:cs="Times New Roman"/>
          <w:sz w:val="24"/>
          <w:szCs w:val="24"/>
        </w:rPr>
      </w:pPr>
    </w:p>
    <w:p w14:paraId="4B437C5F" w14:textId="770723C5" w:rsidR="0069701D" w:rsidRDefault="0069701D" w:rsidP="00E46E38">
      <w:pPr>
        <w:rPr>
          <w:rFonts w:ascii="Times New Roman" w:hAnsi="Times New Roman" w:cs="Times New Roman"/>
          <w:sz w:val="24"/>
          <w:szCs w:val="24"/>
        </w:rPr>
      </w:pPr>
    </w:p>
    <w:p w14:paraId="1B752632" w14:textId="77777777" w:rsidR="00E46E38" w:rsidRPr="0079220C" w:rsidRDefault="00E46E38">
      <w:pPr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br w:type="page"/>
      </w:r>
    </w:p>
    <w:p w14:paraId="5DBFD614" w14:textId="428B5500" w:rsidR="0079220C" w:rsidRPr="0079220C" w:rsidRDefault="00803047" w:rsidP="00977381">
      <w:pPr>
        <w:pStyle w:val="Heading1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Organizing the Argument</w:t>
      </w:r>
    </w:p>
    <w:p w14:paraId="2384A74B" w14:textId="77777777" w:rsidR="007F1AC1" w:rsidRPr="0079220C" w:rsidRDefault="007F1AC1" w:rsidP="0097738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Introduction</w:t>
      </w:r>
    </w:p>
    <w:p w14:paraId="33129C8C" w14:textId="79E99006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Engaging statement</w:t>
      </w:r>
    </w:p>
    <w:p w14:paraId="10471FFB" w14:textId="713D10BB" w:rsidR="00C72B5A" w:rsidRPr="0079220C" w:rsidRDefault="00025DCF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their quest to become scholars, doctoral students undergo a series of transformation in their identity from both the research and writing perspective.</w:t>
      </w:r>
      <w:r w:rsidR="00751DC7">
        <w:rPr>
          <w:rFonts w:ascii="Times New Roman" w:hAnsi="Times New Roman" w:cs="Times New Roman"/>
          <w:sz w:val="24"/>
          <w:szCs w:val="24"/>
        </w:rPr>
        <w:t xml:space="preserve"> Their doctoral identity trajectory is </w:t>
      </w:r>
      <w:r w:rsidR="00977381">
        <w:rPr>
          <w:rFonts w:ascii="Times New Roman" w:hAnsi="Times New Roman" w:cs="Times New Roman"/>
          <w:sz w:val="24"/>
          <w:szCs w:val="24"/>
        </w:rPr>
        <w:t>flanked by</w:t>
      </w:r>
      <w:r w:rsidR="00751DC7">
        <w:rPr>
          <w:rFonts w:ascii="Times New Roman" w:hAnsi="Times New Roman" w:cs="Times New Roman"/>
          <w:sz w:val="24"/>
          <w:szCs w:val="24"/>
        </w:rPr>
        <w:t xml:space="preserve"> several experiences of writing, review, and mastery of research analytics.</w:t>
      </w:r>
    </w:p>
    <w:p w14:paraId="5367E9C4" w14:textId="77777777" w:rsidR="00751DC7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Contextualize topic</w:t>
      </w:r>
    </w:p>
    <w:p w14:paraId="6C0C7874" w14:textId="24ECF383" w:rsidR="007F1AC1" w:rsidRDefault="00751DC7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Identity development is </w:t>
      </w:r>
      <w:r w:rsidR="00FE6A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crucial facet of doctoral students. Its significance is inherent in understanding the critical point of departure in their trajectory to </w:t>
      </w:r>
      <w:r w:rsidR="00977381">
        <w:rPr>
          <w:rFonts w:ascii="Times New Roman" w:hAnsi="Times New Roman" w:cs="Times New Roman"/>
          <w:sz w:val="24"/>
          <w:szCs w:val="24"/>
        </w:rPr>
        <w:t>becoming scholarly</w:t>
      </w:r>
      <w:r>
        <w:rPr>
          <w:rFonts w:ascii="Times New Roman" w:hAnsi="Times New Roman" w:cs="Times New Roman"/>
          <w:sz w:val="24"/>
          <w:szCs w:val="24"/>
        </w:rPr>
        <w:t xml:space="preserve"> researchers.</w:t>
      </w:r>
      <w:r w:rsidR="007F1AC1" w:rsidRPr="00792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5F2ED" w14:textId="134E5D17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Contextualize themes</w:t>
      </w:r>
    </w:p>
    <w:p w14:paraId="4055F3ED" w14:textId="39D444D3" w:rsidR="00F27609" w:rsidRPr="0079220C" w:rsidRDefault="00F27609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the significance of the doctoral identity and the experiences that facilitates the progression of the aspirations of doctoral students is key. The journey to becoming a scholar is marred by incidences of fear and anxiety as the students seek to establish their independent scholarly thinking.</w:t>
      </w:r>
    </w:p>
    <w:p w14:paraId="08F54073" w14:textId="12EF141C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Thesis statement</w:t>
      </w:r>
    </w:p>
    <w:p w14:paraId="78E32872" w14:textId="6A463D9F" w:rsidR="00135962" w:rsidRPr="0079220C" w:rsidRDefault="00135962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5962">
        <w:rPr>
          <w:rFonts w:ascii="Times New Roman" w:hAnsi="Times New Roman" w:cs="Times New Roman"/>
          <w:sz w:val="24"/>
          <w:szCs w:val="24"/>
        </w:rPr>
        <w:t xml:space="preserve">Doctoral students that hone their research writing skills through repeated exposure to </w:t>
      </w:r>
      <w:r w:rsidR="00977381" w:rsidRPr="00135962">
        <w:rPr>
          <w:rFonts w:ascii="Times New Roman" w:hAnsi="Times New Roman" w:cs="Times New Roman"/>
          <w:sz w:val="24"/>
          <w:szCs w:val="24"/>
        </w:rPr>
        <w:t>dissertations</w:t>
      </w:r>
      <w:r w:rsidRPr="00135962">
        <w:rPr>
          <w:rFonts w:ascii="Times New Roman" w:hAnsi="Times New Roman" w:cs="Times New Roman"/>
          <w:sz w:val="24"/>
          <w:szCs w:val="24"/>
        </w:rPr>
        <w:t xml:space="preserve"> are able to derive experiences that will transform their identity to independent scholars.</w:t>
      </w:r>
    </w:p>
    <w:p w14:paraId="43B620CB" w14:textId="376126AB" w:rsidR="007F1AC1" w:rsidRPr="0079220C" w:rsidRDefault="003C0976" w:rsidP="0097738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</w:t>
      </w:r>
    </w:p>
    <w:p w14:paraId="3D14DB3F" w14:textId="61E88DE5" w:rsidR="007F1AC1" w:rsidRPr="0079220C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lastRenderedPageBreak/>
        <w:t>Topic sentence</w:t>
      </w:r>
      <w:r w:rsidR="003C0976">
        <w:rPr>
          <w:rFonts w:ascii="Times New Roman" w:hAnsi="Times New Roman" w:cs="Times New Roman"/>
          <w:sz w:val="24"/>
          <w:szCs w:val="24"/>
        </w:rPr>
        <w:t xml:space="preserve">: </w:t>
      </w:r>
      <w:r w:rsidR="003C0976" w:rsidRPr="003C0976">
        <w:rPr>
          <w:rFonts w:ascii="Times New Roman" w:hAnsi="Times New Roman" w:cs="Times New Roman"/>
          <w:sz w:val="24"/>
          <w:szCs w:val="24"/>
        </w:rPr>
        <w:t xml:space="preserve">Honing their research writing skills through varied experience </w:t>
      </w:r>
      <w:r w:rsidR="00977381" w:rsidRPr="003C0976">
        <w:rPr>
          <w:rFonts w:ascii="Times New Roman" w:hAnsi="Times New Roman" w:cs="Times New Roman"/>
          <w:sz w:val="24"/>
          <w:szCs w:val="24"/>
        </w:rPr>
        <w:t>and constructive</w:t>
      </w:r>
      <w:r w:rsidR="00B94A44">
        <w:rPr>
          <w:rFonts w:ascii="Times New Roman" w:hAnsi="Times New Roman" w:cs="Times New Roman"/>
          <w:sz w:val="24"/>
          <w:szCs w:val="24"/>
        </w:rPr>
        <w:t xml:space="preserve"> peer and </w:t>
      </w:r>
      <w:r w:rsidR="00977381">
        <w:rPr>
          <w:rFonts w:ascii="Times New Roman" w:hAnsi="Times New Roman" w:cs="Times New Roman"/>
          <w:sz w:val="24"/>
          <w:szCs w:val="24"/>
        </w:rPr>
        <w:t>supervisory</w:t>
      </w:r>
      <w:r w:rsidR="00B94A44">
        <w:rPr>
          <w:rFonts w:ascii="Times New Roman" w:hAnsi="Times New Roman" w:cs="Times New Roman"/>
          <w:sz w:val="24"/>
          <w:szCs w:val="24"/>
        </w:rPr>
        <w:t xml:space="preserve"> feedback </w:t>
      </w:r>
      <w:r w:rsidR="003C0976" w:rsidRPr="003C0976">
        <w:rPr>
          <w:rFonts w:ascii="Times New Roman" w:hAnsi="Times New Roman" w:cs="Times New Roman"/>
          <w:sz w:val="24"/>
          <w:szCs w:val="24"/>
        </w:rPr>
        <w:t>aligns doctoral students to the conventional scholarly identity</w:t>
      </w:r>
      <w:r w:rsidR="003C0976">
        <w:rPr>
          <w:rFonts w:ascii="Times New Roman" w:hAnsi="Times New Roman" w:cs="Times New Roman"/>
          <w:sz w:val="24"/>
          <w:szCs w:val="24"/>
        </w:rPr>
        <w:t>.</w:t>
      </w:r>
    </w:p>
    <w:p w14:paraId="642BCF02" w14:textId="351D162E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 xml:space="preserve">Evidence from </w:t>
      </w:r>
      <w:r w:rsidR="00C5780C" w:rsidRPr="0079220C">
        <w:rPr>
          <w:rFonts w:ascii="Times New Roman" w:hAnsi="Times New Roman" w:cs="Times New Roman"/>
          <w:sz w:val="24"/>
          <w:szCs w:val="24"/>
        </w:rPr>
        <w:t>3 articles</w:t>
      </w:r>
    </w:p>
    <w:p w14:paraId="37E8A3AD" w14:textId="3A8D738E" w:rsidR="00C46EDA" w:rsidRDefault="00C46EDA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6EDA">
        <w:rPr>
          <w:rFonts w:ascii="Times New Roman" w:hAnsi="Times New Roman" w:cs="Times New Roman"/>
          <w:sz w:val="24"/>
          <w:szCs w:val="24"/>
        </w:rPr>
        <w:t>As doctoral students learn to conduct research, they hone their writing skills which is imperative in helping transi</w:t>
      </w:r>
      <w:r>
        <w:rPr>
          <w:rFonts w:ascii="Times New Roman" w:hAnsi="Times New Roman" w:cs="Times New Roman"/>
          <w:sz w:val="24"/>
          <w:szCs w:val="24"/>
        </w:rPr>
        <w:t>tion their identity as scholars (</w:t>
      </w:r>
      <w:r w:rsidRPr="0079220C">
        <w:rPr>
          <w:rFonts w:ascii="Times New Roman" w:hAnsi="Times New Roman" w:cs="Times New Roman"/>
          <w:sz w:val="24"/>
          <w:szCs w:val="24"/>
        </w:rPr>
        <w:t xml:space="preserve">Garcia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Yao, </w:t>
      </w:r>
      <w:r w:rsidRPr="0079220C">
        <w:rPr>
          <w:rFonts w:ascii="Times New Roman" w:hAnsi="Times New Roman" w:cs="Times New Roman"/>
          <w:sz w:val="24"/>
          <w:szCs w:val="24"/>
        </w:rPr>
        <w:t>2019)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856B03" w14:textId="391E7483" w:rsidR="00B94A44" w:rsidRDefault="00D324FC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24FC">
        <w:rPr>
          <w:rFonts w:ascii="Times New Roman" w:hAnsi="Times New Roman" w:cs="Times New Roman"/>
          <w:sz w:val="24"/>
          <w:szCs w:val="24"/>
        </w:rPr>
        <w:t>Writing is a major site of scholarly identity development, and doctoral students acquire self-assessment skills and gain confidence in their scholarly identities through giving and re</w:t>
      </w:r>
      <w:r>
        <w:rPr>
          <w:rFonts w:ascii="Times New Roman" w:hAnsi="Times New Roman" w:cs="Times New Roman"/>
          <w:sz w:val="24"/>
          <w:szCs w:val="24"/>
        </w:rPr>
        <w:t>ceiving feedback in peer groups (</w:t>
      </w:r>
      <w:r w:rsidRPr="0079220C">
        <w:rPr>
          <w:rFonts w:ascii="Times New Roman" w:hAnsi="Times New Roman" w:cs="Times New Roman"/>
          <w:sz w:val="24"/>
          <w:szCs w:val="24"/>
        </w:rPr>
        <w:t xml:space="preserve">Inouye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McAlpine, </w:t>
      </w:r>
      <w:r w:rsidRPr="0079220C">
        <w:rPr>
          <w:rFonts w:ascii="Times New Roman" w:hAnsi="Times New Roman" w:cs="Times New Roman"/>
          <w:sz w:val="24"/>
          <w:szCs w:val="24"/>
        </w:rPr>
        <w:t>2017)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88FD8" w14:textId="6DE5A0BF" w:rsidR="005C6B19" w:rsidRPr="0079220C" w:rsidRDefault="005C6B19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C6B19">
        <w:rPr>
          <w:rFonts w:ascii="Times New Roman" w:hAnsi="Times New Roman" w:cs="Times New Roman"/>
          <w:sz w:val="24"/>
          <w:szCs w:val="24"/>
        </w:rPr>
        <w:t>Identity formation plays a large part in how graduate students, as adult learners, go from a position of seeing themselves as students to seeing th</w:t>
      </w:r>
      <w:r>
        <w:rPr>
          <w:rFonts w:ascii="Times New Roman" w:hAnsi="Times New Roman" w:cs="Times New Roman"/>
          <w:sz w:val="24"/>
          <w:szCs w:val="24"/>
        </w:rPr>
        <w:t>emselves as scholars (</w:t>
      </w:r>
      <w:r w:rsidRPr="0079220C">
        <w:rPr>
          <w:rFonts w:ascii="Times New Roman" w:hAnsi="Times New Roman" w:cs="Times New Roman"/>
          <w:sz w:val="24"/>
          <w:szCs w:val="24"/>
        </w:rPr>
        <w:t xml:space="preserve">Coffman, Putman, Adkisson, Kriner,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79220C">
        <w:rPr>
          <w:rFonts w:ascii="Times New Roman" w:hAnsi="Times New Roman" w:cs="Times New Roman"/>
          <w:sz w:val="24"/>
          <w:szCs w:val="24"/>
        </w:rPr>
        <w:t xml:space="preserve"> Monaghan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220C">
        <w:rPr>
          <w:rFonts w:ascii="Times New Roman" w:hAnsi="Times New Roman" w:cs="Times New Roman"/>
          <w:sz w:val="24"/>
          <w:szCs w:val="24"/>
        </w:rPr>
        <w:t>2016)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178BB" w14:textId="625B64AD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Transition statement to next theme</w:t>
      </w:r>
      <w:r w:rsidR="007F252E">
        <w:rPr>
          <w:rFonts w:ascii="Times New Roman" w:hAnsi="Times New Roman" w:cs="Times New Roman"/>
          <w:sz w:val="24"/>
          <w:szCs w:val="24"/>
        </w:rPr>
        <w:t>:</w:t>
      </w:r>
    </w:p>
    <w:p w14:paraId="67322493" w14:textId="5E2082FE" w:rsidR="00A25FBC" w:rsidRDefault="00A25FBC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development of doctoral identity is a product of several experiences that give the students distinctive capabilities that will represent them as scholars.</w:t>
      </w:r>
    </w:p>
    <w:p w14:paraId="5671AB8C" w14:textId="451E6065" w:rsidR="007F1AC1" w:rsidRPr="0079220C" w:rsidRDefault="003C0976" w:rsidP="0097738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</w:t>
      </w:r>
      <w:r w:rsidR="008D7C5B">
        <w:rPr>
          <w:rFonts w:ascii="Times New Roman" w:hAnsi="Times New Roman" w:cs="Times New Roman"/>
          <w:sz w:val="24"/>
          <w:szCs w:val="24"/>
        </w:rPr>
        <w:t>oral Experience</w:t>
      </w:r>
    </w:p>
    <w:p w14:paraId="61CEFF63" w14:textId="7B599BD9" w:rsidR="007F1AC1" w:rsidRPr="0079220C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Topic sentence</w:t>
      </w:r>
      <w:r w:rsidR="00123C35">
        <w:rPr>
          <w:rFonts w:ascii="Times New Roman" w:hAnsi="Times New Roman" w:cs="Times New Roman"/>
          <w:sz w:val="24"/>
          <w:szCs w:val="24"/>
        </w:rPr>
        <w:t xml:space="preserve">: </w:t>
      </w:r>
      <w:r w:rsidR="00123C35" w:rsidRPr="00123C35">
        <w:rPr>
          <w:rFonts w:ascii="Times New Roman" w:hAnsi="Times New Roman" w:cs="Times New Roman"/>
          <w:sz w:val="24"/>
          <w:szCs w:val="24"/>
        </w:rPr>
        <w:t>Through repeated exposure to dissertations and varying research writing approaches, doctoral students develop the capability to become reliable scholars</w:t>
      </w:r>
      <w:r w:rsidR="00123C35">
        <w:rPr>
          <w:rFonts w:ascii="Times New Roman" w:hAnsi="Times New Roman" w:cs="Times New Roman"/>
          <w:sz w:val="24"/>
          <w:szCs w:val="24"/>
        </w:rPr>
        <w:t>.</w:t>
      </w:r>
    </w:p>
    <w:p w14:paraId="5D285786" w14:textId="07660292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Evidence from 3 articles</w:t>
      </w:r>
    </w:p>
    <w:p w14:paraId="6F7D601F" w14:textId="315874E1" w:rsidR="000E5C94" w:rsidRDefault="000E5C94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E5C94">
        <w:rPr>
          <w:rFonts w:ascii="Times New Roman" w:hAnsi="Times New Roman" w:cs="Times New Roman"/>
          <w:sz w:val="24"/>
          <w:szCs w:val="24"/>
        </w:rPr>
        <w:lastRenderedPageBreak/>
        <w:t>The process of becoming a researcher and adopting a professional and scholarly identity involves the experience and mastery of what it means to be a scholar and the competency of presenting research to</w:t>
      </w:r>
      <w:r>
        <w:rPr>
          <w:rFonts w:ascii="Times New Roman" w:hAnsi="Times New Roman" w:cs="Times New Roman"/>
          <w:sz w:val="24"/>
          <w:szCs w:val="24"/>
        </w:rPr>
        <w:t xml:space="preserve"> groups of established scholars (</w:t>
      </w:r>
      <w:r w:rsidRPr="0079220C">
        <w:rPr>
          <w:rFonts w:ascii="Times New Roman" w:hAnsi="Times New Roman" w:cs="Times New Roman"/>
          <w:sz w:val="24"/>
          <w:szCs w:val="24"/>
        </w:rPr>
        <w:t xml:space="preserve">Coffman, Putman, Adkisson, Kriner,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79220C">
        <w:rPr>
          <w:rFonts w:ascii="Times New Roman" w:hAnsi="Times New Roman" w:cs="Times New Roman"/>
          <w:sz w:val="24"/>
          <w:szCs w:val="24"/>
        </w:rPr>
        <w:t xml:space="preserve"> Monaghan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220C">
        <w:rPr>
          <w:rFonts w:ascii="Times New Roman" w:hAnsi="Times New Roman" w:cs="Times New Roman"/>
          <w:sz w:val="24"/>
          <w:szCs w:val="24"/>
        </w:rPr>
        <w:t>2016)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88AAF0" w14:textId="091857FD" w:rsidR="00521E28" w:rsidRDefault="00521E28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1E28">
        <w:rPr>
          <w:rFonts w:ascii="Times New Roman" w:hAnsi="Times New Roman" w:cs="Times New Roman"/>
          <w:sz w:val="24"/>
          <w:szCs w:val="24"/>
        </w:rPr>
        <w:t>eer writing groups may be useful in encouraging self-assessment as students learn to position themselves by collectively building identities as writers and peer reviewers, and sharing experiences in pursuit of the common go</w:t>
      </w:r>
      <w:r>
        <w:rPr>
          <w:rFonts w:ascii="Times New Roman" w:hAnsi="Times New Roman" w:cs="Times New Roman"/>
          <w:sz w:val="24"/>
          <w:szCs w:val="24"/>
        </w:rPr>
        <w:t>al of producing quality writing (</w:t>
      </w:r>
      <w:r w:rsidRPr="0079220C">
        <w:rPr>
          <w:rFonts w:ascii="Times New Roman" w:hAnsi="Times New Roman" w:cs="Times New Roman"/>
          <w:sz w:val="24"/>
          <w:szCs w:val="24"/>
        </w:rPr>
        <w:t xml:space="preserve">Inouye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McAlpine, </w:t>
      </w:r>
      <w:r w:rsidRPr="0079220C">
        <w:rPr>
          <w:rFonts w:ascii="Times New Roman" w:hAnsi="Times New Roman" w:cs="Times New Roman"/>
          <w:sz w:val="24"/>
          <w:szCs w:val="24"/>
        </w:rPr>
        <w:t>2017)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432C5" w14:textId="53B2A90C" w:rsidR="00B60E8A" w:rsidRPr="0079220C" w:rsidRDefault="00B60E8A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60E8A">
        <w:rPr>
          <w:rFonts w:ascii="Times New Roman" w:hAnsi="Times New Roman" w:cs="Times New Roman"/>
          <w:sz w:val="24"/>
          <w:szCs w:val="24"/>
        </w:rPr>
        <w:t>The experience of research writing in the course of their doctoral education allow the students to work on their ideas, which help them transition from the identity of a ‘good course-taker’ to</w:t>
      </w:r>
      <w:r>
        <w:rPr>
          <w:rFonts w:ascii="Times New Roman" w:hAnsi="Times New Roman" w:cs="Times New Roman"/>
          <w:sz w:val="24"/>
          <w:szCs w:val="24"/>
        </w:rPr>
        <w:t xml:space="preserve"> that of an independent scholar (</w:t>
      </w:r>
      <w:r w:rsidRPr="0079220C">
        <w:rPr>
          <w:rFonts w:ascii="Times New Roman" w:hAnsi="Times New Roman" w:cs="Times New Roman"/>
          <w:sz w:val="24"/>
          <w:szCs w:val="24"/>
        </w:rPr>
        <w:t xml:space="preserve">Garcia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79220C">
        <w:rPr>
          <w:rFonts w:ascii="Times New Roman" w:hAnsi="Times New Roman" w:cs="Times New Roman"/>
          <w:sz w:val="24"/>
          <w:szCs w:val="24"/>
        </w:rPr>
        <w:t xml:space="preserve"> Yao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220C">
        <w:rPr>
          <w:rFonts w:ascii="Times New Roman" w:hAnsi="Times New Roman" w:cs="Times New Roman"/>
          <w:sz w:val="24"/>
          <w:szCs w:val="24"/>
        </w:rPr>
        <w:t>2019)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2925C" w14:textId="77777777" w:rsidR="007F1AC1" w:rsidRPr="0079220C" w:rsidRDefault="007F1AC1" w:rsidP="0097738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Conclusion</w:t>
      </w:r>
    </w:p>
    <w:p w14:paraId="30A5B5BB" w14:textId="0604DE87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Support thesis statement</w:t>
      </w:r>
    </w:p>
    <w:p w14:paraId="0DA97763" w14:textId="01DA6442" w:rsidR="00850AC5" w:rsidRPr="0079220C" w:rsidRDefault="00C57E92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Doctoral education offers a plethora of writing and research experiences that enable the students to establish themselves as researchers.</w:t>
      </w:r>
    </w:p>
    <w:p w14:paraId="60398665" w14:textId="61F736C6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Summarize theme points</w:t>
      </w:r>
    </w:p>
    <w:p w14:paraId="63FD3B38" w14:textId="211473FF" w:rsidR="00C57E92" w:rsidRPr="0079220C" w:rsidRDefault="00C57E92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researcher, identity is key in setting themselves apart based on the specialized skills they acquire from the program. The experience of writing dissertations and evaluating topics from highly professional topics </w:t>
      </w:r>
      <w:r w:rsidR="00977381">
        <w:rPr>
          <w:rFonts w:ascii="Times New Roman" w:hAnsi="Times New Roman" w:cs="Times New Roman"/>
          <w:sz w:val="24"/>
          <w:szCs w:val="24"/>
        </w:rPr>
        <w:t>transform</w:t>
      </w:r>
      <w:r>
        <w:rPr>
          <w:rFonts w:ascii="Times New Roman" w:hAnsi="Times New Roman" w:cs="Times New Roman"/>
          <w:sz w:val="24"/>
          <w:szCs w:val="24"/>
        </w:rPr>
        <w:t xml:space="preserve"> the students into their doctorate aspirations.</w:t>
      </w:r>
    </w:p>
    <w:p w14:paraId="19E5CB20" w14:textId="707E2B44" w:rsidR="007F1AC1" w:rsidRDefault="007F1AC1" w:rsidP="00977381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Future research recommendations</w:t>
      </w:r>
    </w:p>
    <w:p w14:paraId="334EB887" w14:textId="1A2DDFCC" w:rsidR="00B70589" w:rsidRDefault="00B70589" w:rsidP="0097738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the doctoral identity and </w:t>
      </w:r>
      <w:r w:rsidR="00977381">
        <w:rPr>
          <w:rFonts w:ascii="Times New Roman" w:hAnsi="Times New Roman" w:cs="Times New Roman"/>
          <w:sz w:val="24"/>
          <w:szCs w:val="24"/>
        </w:rPr>
        <w:t>experiences</w:t>
      </w:r>
      <w:r>
        <w:rPr>
          <w:rFonts w:ascii="Times New Roman" w:hAnsi="Times New Roman" w:cs="Times New Roman"/>
          <w:sz w:val="24"/>
          <w:szCs w:val="24"/>
        </w:rPr>
        <w:t xml:space="preserve">, it would be imperative to probe the role of professors in mentoring doctoral students into the various scientific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fields, especially in their understanding of scientific paradigms. Understanding how the </w:t>
      </w:r>
      <w:r w:rsidR="00186887">
        <w:rPr>
          <w:rFonts w:ascii="Times New Roman" w:hAnsi="Times New Roman" w:cs="Times New Roman"/>
          <w:sz w:val="24"/>
          <w:szCs w:val="24"/>
        </w:rPr>
        <w:t>doctoral students are made flexible to accommodate revolutions in their field of interest is also an issue of interest.</w:t>
      </w:r>
    </w:p>
    <w:p w14:paraId="0C58CBDE" w14:textId="21BC13C5" w:rsidR="0069701D" w:rsidRDefault="0069701D" w:rsidP="0069701D">
      <w:pPr>
        <w:rPr>
          <w:rFonts w:ascii="Times New Roman" w:hAnsi="Times New Roman" w:cs="Times New Roman"/>
          <w:sz w:val="24"/>
          <w:szCs w:val="24"/>
        </w:rPr>
      </w:pPr>
    </w:p>
    <w:p w14:paraId="474F3CAA" w14:textId="45D72644" w:rsidR="0069701D" w:rsidRDefault="0069701D" w:rsidP="0069701D">
      <w:pPr>
        <w:rPr>
          <w:rFonts w:ascii="Times New Roman" w:hAnsi="Times New Roman" w:cs="Times New Roman"/>
          <w:sz w:val="24"/>
          <w:szCs w:val="24"/>
        </w:rPr>
      </w:pPr>
    </w:p>
    <w:p w14:paraId="69E3D6BE" w14:textId="64B22145" w:rsidR="0069701D" w:rsidRDefault="0069701D" w:rsidP="0069701D">
      <w:pPr>
        <w:rPr>
          <w:rFonts w:ascii="Times New Roman" w:hAnsi="Times New Roman" w:cs="Times New Roman"/>
          <w:sz w:val="24"/>
          <w:szCs w:val="24"/>
        </w:rPr>
      </w:pPr>
    </w:p>
    <w:p w14:paraId="20B343A3" w14:textId="77777777" w:rsidR="0069701D" w:rsidRPr="0069701D" w:rsidRDefault="0069701D" w:rsidP="0069701D">
      <w:pPr>
        <w:rPr>
          <w:rFonts w:ascii="Times New Roman" w:hAnsi="Times New Roman" w:cs="Times New Roman"/>
          <w:sz w:val="24"/>
          <w:szCs w:val="24"/>
        </w:rPr>
      </w:pPr>
    </w:p>
    <w:p w14:paraId="1FAE5CD3" w14:textId="77777777" w:rsidR="00F011AC" w:rsidRPr="0079220C" w:rsidRDefault="00F011AC">
      <w:pPr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br w:type="page"/>
      </w:r>
    </w:p>
    <w:p w14:paraId="7F2BC817" w14:textId="77777777" w:rsidR="00F011AC" w:rsidRPr="0079220C" w:rsidRDefault="00F011AC" w:rsidP="0079220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220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Reflecting on the Process</w:t>
      </w:r>
    </w:p>
    <w:p w14:paraId="6D36F8D2" w14:textId="77777777" w:rsidR="008650E4" w:rsidRPr="0079220C" w:rsidRDefault="008650E4" w:rsidP="008650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9FA6B7" w14:textId="7A0EAA0F" w:rsidR="0069701D" w:rsidRDefault="00857090" w:rsidP="002F1D2A">
      <w:pPr>
        <w:autoSpaceDE w:val="0"/>
        <w:autoSpaceDN w:val="0"/>
        <w:spacing w:before="40"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Synthesizing an argument from the three research articles took me time. I had carefully go</w:t>
      </w:r>
      <w:r w:rsidR="00F012C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through the articles to establish their main ideas and how they could relate to one another. Fortunately, there were videos to guide me</w:t>
      </w:r>
      <w:r w:rsidR="00F012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they made the work easier as they clarified what needed to be done.</w:t>
      </w:r>
      <w:r w:rsidR="00CB3942">
        <w:rPr>
          <w:rFonts w:ascii="Times New Roman" w:hAnsi="Times New Roman" w:cs="Times New Roman"/>
          <w:sz w:val="24"/>
          <w:szCs w:val="24"/>
        </w:rPr>
        <w:t xml:space="preserve">  However</w:t>
      </w:r>
      <w:r w:rsidR="00F012CB">
        <w:rPr>
          <w:rFonts w:ascii="Times New Roman" w:hAnsi="Times New Roman" w:cs="Times New Roman"/>
          <w:sz w:val="24"/>
          <w:szCs w:val="24"/>
        </w:rPr>
        <w:t>,</w:t>
      </w:r>
      <w:r w:rsidR="00CB3942">
        <w:rPr>
          <w:rFonts w:ascii="Times New Roman" w:hAnsi="Times New Roman" w:cs="Times New Roman"/>
          <w:sz w:val="24"/>
          <w:szCs w:val="24"/>
        </w:rPr>
        <w:t xml:space="preserve"> getting the evidence to support my claim was challenging and forced me to change the themes so that everything aligned </w:t>
      </w:r>
      <w:r w:rsidR="00F012CB">
        <w:rPr>
          <w:rFonts w:ascii="Times New Roman" w:hAnsi="Times New Roman" w:cs="Times New Roman"/>
          <w:sz w:val="24"/>
          <w:szCs w:val="24"/>
        </w:rPr>
        <w:t>with</w:t>
      </w:r>
      <w:r w:rsidR="00CB3942">
        <w:rPr>
          <w:rFonts w:ascii="Times New Roman" w:hAnsi="Times New Roman" w:cs="Times New Roman"/>
          <w:sz w:val="24"/>
          <w:szCs w:val="24"/>
        </w:rPr>
        <w:t xml:space="preserve"> the thought process that I developed as I read the articles.</w:t>
      </w:r>
      <w:r w:rsidR="0068026B">
        <w:rPr>
          <w:rFonts w:ascii="Times New Roman" w:hAnsi="Times New Roman" w:cs="Times New Roman"/>
          <w:sz w:val="24"/>
          <w:szCs w:val="24"/>
        </w:rPr>
        <w:t xml:space="preserve"> Although the work was time</w:t>
      </w:r>
      <w:r w:rsidR="00F012CB">
        <w:rPr>
          <w:rFonts w:ascii="Times New Roman" w:hAnsi="Times New Roman" w:cs="Times New Roman"/>
          <w:sz w:val="24"/>
          <w:szCs w:val="24"/>
        </w:rPr>
        <w:t>-</w:t>
      </w:r>
      <w:r w:rsidR="0068026B">
        <w:rPr>
          <w:rFonts w:ascii="Times New Roman" w:hAnsi="Times New Roman" w:cs="Times New Roman"/>
          <w:sz w:val="24"/>
          <w:szCs w:val="24"/>
        </w:rPr>
        <w:t>consuming, it sharpened my analytical skills and helped me synthesize an argument from different articles.</w:t>
      </w:r>
    </w:p>
    <w:p w14:paraId="75B22D46" w14:textId="42EF5147" w:rsidR="00355F6A" w:rsidRDefault="00956EF1" w:rsidP="00956EF1">
      <w:pPr>
        <w:autoSpaceDE w:val="0"/>
        <w:autoSpaceDN w:val="0"/>
        <w:spacing w:before="40"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Writing </w:t>
      </w:r>
      <w:r w:rsidR="00355F6A">
        <w:rPr>
          <w:rFonts w:ascii="Times New Roman" w:hAnsi="Times New Roman" w:cs="Times New Roman"/>
          <w:sz w:val="24"/>
          <w:szCs w:val="24"/>
        </w:rPr>
        <w:t>down the themes and deriving the evidence to support them from the ar</w:t>
      </w:r>
      <w:r w:rsidR="00F012CB">
        <w:rPr>
          <w:rFonts w:ascii="Times New Roman" w:hAnsi="Times New Roman" w:cs="Times New Roman"/>
          <w:sz w:val="24"/>
          <w:szCs w:val="24"/>
        </w:rPr>
        <w:t>ti</w:t>
      </w:r>
      <w:r w:rsidR="00355F6A">
        <w:rPr>
          <w:rFonts w:ascii="Times New Roman" w:hAnsi="Times New Roman" w:cs="Times New Roman"/>
          <w:sz w:val="24"/>
          <w:szCs w:val="24"/>
        </w:rPr>
        <w:t xml:space="preserve">cles made it simple to develop a thesis statement that </w:t>
      </w:r>
      <w:r w:rsidR="00F012CB">
        <w:rPr>
          <w:rFonts w:ascii="Times New Roman" w:hAnsi="Times New Roman" w:cs="Times New Roman"/>
          <w:sz w:val="24"/>
          <w:szCs w:val="24"/>
        </w:rPr>
        <w:t>the three articles could support</w:t>
      </w:r>
      <w:r w:rsidR="00355F6A">
        <w:rPr>
          <w:rFonts w:ascii="Times New Roman" w:hAnsi="Times New Roman" w:cs="Times New Roman"/>
          <w:sz w:val="24"/>
          <w:szCs w:val="24"/>
        </w:rPr>
        <w:t>. While all of them entailed doctoral identity and research writing, they were designed to present the argument from different perspectives and allowed me to understand the dynamics surrounding doctoral education.</w:t>
      </w:r>
    </w:p>
    <w:p w14:paraId="44D3FB50" w14:textId="6497E73E" w:rsidR="00D36E9A" w:rsidRPr="0079220C" w:rsidRDefault="00D36E9A" w:rsidP="00956EF1">
      <w:pPr>
        <w:autoSpaceDE w:val="0"/>
        <w:autoSpaceDN w:val="0"/>
        <w:spacing w:before="40" w:after="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learned how to organize an argument in terms of a thesis statement, supporting points, and evidence showing the relevance of the points.</w:t>
      </w:r>
      <w:r w:rsidR="00B55CEB">
        <w:rPr>
          <w:rFonts w:ascii="Times New Roman" w:hAnsi="Times New Roman" w:cs="Times New Roman"/>
          <w:sz w:val="24"/>
          <w:szCs w:val="24"/>
        </w:rPr>
        <w:t xml:space="preserve"> Also, I learned how to connect two points </w:t>
      </w:r>
      <w:r w:rsidR="00F012CB">
        <w:rPr>
          <w:rFonts w:ascii="Times New Roman" w:hAnsi="Times New Roman" w:cs="Times New Roman"/>
          <w:sz w:val="24"/>
          <w:szCs w:val="24"/>
        </w:rPr>
        <w:t>by using transition elements to ensure that the argument flows smoothly from one part to the other without causing a</w:t>
      </w:r>
      <w:r w:rsidR="00B55CEB">
        <w:rPr>
          <w:rFonts w:ascii="Times New Roman" w:hAnsi="Times New Roman" w:cs="Times New Roman"/>
          <w:sz w:val="24"/>
          <w:szCs w:val="24"/>
        </w:rPr>
        <w:t xml:space="preserve"> disconnect in the overall argument structure.</w:t>
      </w:r>
      <w:r w:rsidR="00815103">
        <w:rPr>
          <w:rFonts w:ascii="Times New Roman" w:hAnsi="Times New Roman" w:cs="Times New Roman"/>
          <w:sz w:val="24"/>
          <w:szCs w:val="24"/>
        </w:rPr>
        <w:t xml:space="preserve"> Despite being complicated at a glance, it become</w:t>
      </w:r>
      <w:r w:rsidR="00F012CB">
        <w:rPr>
          <w:rFonts w:ascii="Times New Roman" w:hAnsi="Times New Roman" w:cs="Times New Roman"/>
          <w:sz w:val="24"/>
          <w:szCs w:val="24"/>
        </w:rPr>
        <w:t>s</w:t>
      </w:r>
      <w:r w:rsidR="00815103">
        <w:rPr>
          <w:rFonts w:ascii="Times New Roman" w:hAnsi="Times New Roman" w:cs="Times New Roman"/>
          <w:sz w:val="24"/>
          <w:szCs w:val="24"/>
        </w:rPr>
        <w:t xml:space="preserve"> enjoyable</w:t>
      </w:r>
      <w:r w:rsidR="00F012CB">
        <w:rPr>
          <w:rFonts w:ascii="Times New Roman" w:hAnsi="Times New Roman" w:cs="Times New Roman"/>
          <w:sz w:val="24"/>
          <w:szCs w:val="24"/>
        </w:rPr>
        <w:t>,</w:t>
      </w:r>
      <w:r w:rsidR="00815103">
        <w:rPr>
          <w:rFonts w:ascii="Times New Roman" w:hAnsi="Times New Roman" w:cs="Times New Roman"/>
          <w:sz w:val="24"/>
          <w:szCs w:val="24"/>
        </w:rPr>
        <w:t xml:space="preserve"> and now I take the skill of argument synthesis an</w:t>
      </w:r>
      <w:r w:rsidR="00F012CB">
        <w:rPr>
          <w:rFonts w:ascii="Times New Roman" w:hAnsi="Times New Roman" w:cs="Times New Roman"/>
          <w:sz w:val="24"/>
          <w:szCs w:val="24"/>
        </w:rPr>
        <w:t>d</w:t>
      </w:r>
      <w:r w:rsidR="00815103">
        <w:rPr>
          <w:rFonts w:ascii="Times New Roman" w:hAnsi="Times New Roman" w:cs="Times New Roman"/>
          <w:sz w:val="24"/>
          <w:szCs w:val="24"/>
        </w:rPr>
        <w:t xml:space="preserve"> organization to the next assignment.</w:t>
      </w:r>
      <w:r w:rsidR="008A31F8">
        <w:rPr>
          <w:rFonts w:ascii="Times New Roman" w:hAnsi="Times New Roman" w:cs="Times New Roman"/>
          <w:sz w:val="24"/>
          <w:szCs w:val="24"/>
        </w:rPr>
        <w:t xml:space="preserve"> I now know how to relate</w:t>
      </w:r>
      <w:r w:rsidR="00F012CB">
        <w:rPr>
          <w:rFonts w:ascii="Times New Roman" w:hAnsi="Times New Roman" w:cs="Times New Roman"/>
          <w:sz w:val="24"/>
          <w:szCs w:val="24"/>
        </w:rPr>
        <w:t xml:space="preserve"> ideas and themes from different articles to</w:t>
      </w:r>
      <w:r w:rsidR="008A31F8">
        <w:rPr>
          <w:rFonts w:ascii="Times New Roman" w:hAnsi="Times New Roman" w:cs="Times New Roman"/>
          <w:sz w:val="24"/>
          <w:szCs w:val="24"/>
        </w:rPr>
        <w:t xml:space="preserve"> probing the relevance of studies.</w:t>
      </w:r>
    </w:p>
    <w:p w14:paraId="59001C9B" w14:textId="77777777" w:rsidR="00112C71" w:rsidRPr="0079220C" w:rsidRDefault="00112C71" w:rsidP="00112C71">
      <w:pPr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br w:type="page"/>
      </w:r>
    </w:p>
    <w:p w14:paraId="74564863" w14:textId="77777777" w:rsidR="00F011AC" w:rsidRPr="00D5777F" w:rsidRDefault="00112C71" w:rsidP="00980415">
      <w:pPr>
        <w:autoSpaceDE w:val="0"/>
        <w:autoSpaceDN w:val="0"/>
        <w:spacing w:before="40" w:after="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777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2D23F541" w14:textId="77777777" w:rsidR="00112C71" w:rsidRPr="0079220C" w:rsidRDefault="00112C71" w:rsidP="000000C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 xml:space="preserve">Coffman, K., Putman, P., Adkisson, A., Kriner, B., &amp; Monaghan, C. (2016). Waiting for the expert to arrive: Using a community of practice to develop the scholarly identity of doctoral students. </w:t>
      </w:r>
      <w:r w:rsidRPr="0079220C">
        <w:rPr>
          <w:rFonts w:ascii="Times New Roman" w:hAnsi="Times New Roman" w:cs="Times New Roman"/>
          <w:i/>
          <w:iCs/>
          <w:sz w:val="24"/>
          <w:szCs w:val="24"/>
        </w:rPr>
        <w:t>International Journal of Teaching and Learning in Higher Education</w:t>
      </w:r>
      <w:r w:rsidRPr="0079220C">
        <w:rPr>
          <w:rFonts w:ascii="Times New Roman" w:hAnsi="Times New Roman" w:cs="Times New Roman"/>
          <w:sz w:val="24"/>
          <w:szCs w:val="24"/>
        </w:rPr>
        <w:t xml:space="preserve">, </w:t>
      </w:r>
      <w:r w:rsidRPr="0079220C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79220C">
        <w:rPr>
          <w:rFonts w:ascii="Times New Roman" w:hAnsi="Times New Roman" w:cs="Times New Roman"/>
          <w:sz w:val="24"/>
          <w:szCs w:val="24"/>
        </w:rPr>
        <w:t xml:space="preserve">(1), 30-37. Retrieved from </w:t>
      </w:r>
      <w:hyperlink r:id="rId11" w:history="1">
        <w:r w:rsidRPr="0079220C">
          <w:rPr>
            <w:rStyle w:val="Hyperlink"/>
            <w:rFonts w:ascii="Times New Roman" w:hAnsi="Times New Roman" w:cs="Times New Roman"/>
            <w:sz w:val="24"/>
            <w:szCs w:val="24"/>
          </w:rPr>
          <w:t>http://www.isetl.org/ijtlhe/</w:t>
        </w:r>
      </w:hyperlink>
    </w:p>
    <w:p w14:paraId="578478AE" w14:textId="40285D33" w:rsidR="00112C71" w:rsidRPr="0079220C" w:rsidRDefault="00112C71" w:rsidP="00112C71">
      <w:pPr>
        <w:spacing w:line="480" w:lineRule="auto"/>
        <w:ind w:left="630" w:hanging="720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 xml:space="preserve">Garcia, C. E., Yao, C. W. (2019). The role of an online first-year seminar in higher education doctoral students’ scholarly development. </w:t>
      </w:r>
      <w:r w:rsidRPr="0079220C">
        <w:rPr>
          <w:rFonts w:ascii="Times New Roman" w:hAnsi="Times New Roman" w:cs="Times New Roman"/>
          <w:i/>
          <w:sz w:val="24"/>
          <w:szCs w:val="24"/>
        </w:rPr>
        <w:t>The Internet and Higher Education</w:t>
      </w:r>
      <w:r w:rsidRPr="0079220C">
        <w:rPr>
          <w:rFonts w:ascii="Times New Roman" w:hAnsi="Times New Roman" w:cs="Times New Roman"/>
          <w:sz w:val="24"/>
          <w:szCs w:val="24"/>
        </w:rPr>
        <w:t xml:space="preserve">, </w:t>
      </w:r>
      <w:r w:rsidRPr="002B7D19">
        <w:rPr>
          <w:rFonts w:ascii="Times New Roman" w:hAnsi="Times New Roman" w:cs="Times New Roman"/>
          <w:i/>
          <w:sz w:val="24"/>
          <w:szCs w:val="24"/>
        </w:rPr>
        <w:t>42</w:t>
      </w:r>
      <w:r w:rsidRPr="0079220C">
        <w:rPr>
          <w:rFonts w:ascii="Times New Roman" w:hAnsi="Times New Roman" w:cs="Times New Roman"/>
          <w:sz w:val="24"/>
          <w:szCs w:val="24"/>
        </w:rPr>
        <w:t xml:space="preserve">, 44-52. </w:t>
      </w:r>
      <w:r w:rsidR="00AF3FD5">
        <w:rPr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r w:rsidRPr="0079220C">
        <w:rPr>
          <w:rFonts w:ascii="Times New Roman" w:hAnsi="Times New Roman" w:cs="Times New Roman"/>
          <w:sz w:val="24"/>
          <w:szCs w:val="24"/>
          <w:shd w:val="clear" w:color="auto" w:fill="FFFFFF"/>
        </w:rPr>
        <w:t>10.1016/j.iheduc.2019.04.002 </w:t>
      </w:r>
    </w:p>
    <w:p w14:paraId="1016A2A6" w14:textId="77777777" w:rsidR="00112C71" w:rsidRPr="0079220C" w:rsidRDefault="00112C71" w:rsidP="00112C71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 xml:space="preserve">Inouye, K. S., &amp; McAlpine, L. (2017). Developing scholarly identity: Variation in agentive responses to supervisor feedback. </w:t>
      </w:r>
      <w:r w:rsidRPr="0079220C">
        <w:rPr>
          <w:rFonts w:ascii="Times New Roman" w:hAnsi="Times New Roman" w:cs="Times New Roman"/>
          <w:i/>
          <w:sz w:val="24"/>
          <w:szCs w:val="24"/>
        </w:rPr>
        <w:t>Journal of University Teaching and Learning Practice, 14</w:t>
      </w:r>
      <w:r w:rsidRPr="0079220C">
        <w:rPr>
          <w:rFonts w:ascii="Times New Roman" w:hAnsi="Times New Roman" w:cs="Times New Roman"/>
          <w:sz w:val="24"/>
          <w:szCs w:val="24"/>
        </w:rPr>
        <w:t xml:space="preserve">(2), 3-19. Retrieved from </w:t>
      </w:r>
      <w:hyperlink r:id="rId12" w:history="1">
        <w:r w:rsidRPr="0079220C">
          <w:rPr>
            <w:rStyle w:val="Hyperlink"/>
            <w:rFonts w:ascii="Times New Roman" w:hAnsi="Times New Roman" w:cs="Times New Roman"/>
            <w:sz w:val="24"/>
            <w:szCs w:val="24"/>
          </w:rPr>
          <w:t>https://ro.uow.edu.au/jutlp/</w:t>
        </w:r>
      </w:hyperlink>
    </w:p>
    <w:p w14:paraId="4F6A824F" w14:textId="6CA18100" w:rsidR="00112C71" w:rsidRDefault="00112C71" w:rsidP="00112C71">
      <w:pPr>
        <w:autoSpaceDE w:val="0"/>
        <w:autoSpaceDN w:val="0"/>
        <w:spacing w:before="40" w:after="4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4E9046A8" w14:textId="77777777" w:rsidR="00E20A2F" w:rsidRPr="0079220C" w:rsidRDefault="00E20A2F" w:rsidP="00112C71">
      <w:pPr>
        <w:autoSpaceDE w:val="0"/>
        <w:autoSpaceDN w:val="0"/>
        <w:spacing w:before="40" w:after="4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E20A2F" w:rsidRPr="0079220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2305C" w14:textId="77777777" w:rsidR="00A8197B" w:rsidRDefault="00A8197B" w:rsidP="00E46E38">
      <w:r>
        <w:separator/>
      </w:r>
    </w:p>
  </w:endnote>
  <w:endnote w:type="continuationSeparator" w:id="0">
    <w:p w14:paraId="51F29466" w14:textId="77777777" w:rsidR="00A8197B" w:rsidRDefault="00A8197B" w:rsidP="00E4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0989B" w14:textId="77777777" w:rsidR="00A8197B" w:rsidRDefault="00A8197B" w:rsidP="00E46E38">
      <w:r>
        <w:separator/>
      </w:r>
    </w:p>
  </w:footnote>
  <w:footnote w:type="continuationSeparator" w:id="0">
    <w:p w14:paraId="5DA8AD63" w14:textId="77777777" w:rsidR="00A8197B" w:rsidRDefault="00A8197B" w:rsidP="00E4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8748388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655C3E" w14:textId="4D425585" w:rsidR="00C91E77" w:rsidRPr="00247A74" w:rsidRDefault="00C91E7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47A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7A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7A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536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247A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11BF805" w14:textId="77777777" w:rsidR="00C91E77" w:rsidRDefault="00C91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52C"/>
    <w:multiLevelType w:val="hybridMultilevel"/>
    <w:tmpl w:val="C7B01FFC"/>
    <w:lvl w:ilvl="0" w:tplc="AE2EC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571B"/>
    <w:multiLevelType w:val="hybridMultilevel"/>
    <w:tmpl w:val="F5CA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81A93"/>
    <w:multiLevelType w:val="hybridMultilevel"/>
    <w:tmpl w:val="743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0CDD"/>
    <w:multiLevelType w:val="hybridMultilevel"/>
    <w:tmpl w:val="084E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3995"/>
    <w:multiLevelType w:val="hybridMultilevel"/>
    <w:tmpl w:val="A2E8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119DF"/>
    <w:multiLevelType w:val="hybridMultilevel"/>
    <w:tmpl w:val="8C320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04F4"/>
    <w:multiLevelType w:val="hybridMultilevel"/>
    <w:tmpl w:val="513A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225"/>
    <w:multiLevelType w:val="hybridMultilevel"/>
    <w:tmpl w:val="403E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5648"/>
    <w:multiLevelType w:val="hybridMultilevel"/>
    <w:tmpl w:val="8B22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20B5"/>
    <w:multiLevelType w:val="hybridMultilevel"/>
    <w:tmpl w:val="EA36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56A9C"/>
    <w:multiLevelType w:val="hybridMultilevel"/>
    <w:tmpl w:val="3BBC16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MzO1NDS1NDIzMLNQ0lEKTi0uzszPAykwqgUACdIasiwAAAA="/>
  </w:docVars>
  <w:rsids>
    <w:rsidRoot w:val="00E46E38"/>
    <w:rsid w:val="000000C2"/>
    <w:rsid w:val="00025DCF"/>
    <w:rsid w:val="00031CB0"/>
    <w:rsid w:val="00040712"/>
    <w:rsid w:val="000470D0"/>
    <w:rsid w:val="00047532"/>
    <w:rsid w:val="00090970"/>
    <w:rsid w:val="00093C46"/>
    <w:rsid w:val="000B7D52"/>
    <w:rsid w:val="000C498B"/>
    <w:rsid w:val="000E3205"/>
    <w:rsid w:val="000E5C94"/>
    <w:rsid w:val="000F67F5"/>
    <w:rsid w:val="00112C71"/>
    <w:rsid w:val="001200DE"/>
    <w:rsid w:val="00123C35"/>
    <w:rsid w:val="00124F0C"/>
    <w:rsid w:val="00135962"/>
    <w:rsid w:val="00147457"/>
    <w:rsid w:val="00153C97"/>
    <w:rsid w:val="00186887"/>
    <w:rsid w:val="001976EB"/>
    <w:rsid w:val="001C15E0"/>
    <w:rsid w:val="001E1475"/>
    <w:rsid w:val="00221BFC"/>
    <w:rsid w:val="0022361E"/>
    <w:rsid w:val="0024032F"/>
    <w:rsid w:val="00247A74"/>
    <w:rsid w:val="00275719"/>
    <w:rsid w:val="002857A0"/>
    <w:rsid w:val="0028790A"/>
    <w:rsid w:val="002B102A"/>
    <w:rsid w:val="002B7D19"/>
    <w:rsid w:val="002F1D2A"/>
    <w:rsid w:val="00333D2F"/>
    <w:rsid w:val="00355F6A"/>
    <w:rsid w:val="00362129"/>
    <w:rsid w:val="003623A5"/>
    <w:rsid w:val="00386544"/>
    <w:rsid w:val="003A293A"/>
    <w:rsid w:val="003A7405"/>
    <w:rsid w:val="003C0976"/>
    <w:rsid w:val="003D394B"/>
    <w:rsid w:val="004242D7"/>
    <w:rsid w:val="00430A53"/>
    <w:rsid w:val="00471E3A"/>
    <w:rsid w:val="004A464B"/>
    <w:rsid w:val="00513BB5"/>
    <w:rsid w:val="00521E28"/>
    <w:rsid w:val="005365B2"/>
    <w:rsid w:val="0058031B"/>
    <w:rsid w:val="005A4C5E"/>
    <w:rsid w:val="005B4640"/>
    <w:rsid w:val="005B6FCF"/>
    <w:rsid w:val="005C6B19"/>
    <w:rsid w:val="00630A10"/>
    <w:rsid w:val="00646A82"/>
    <w:rsid w:val="0068026B"/>
    <w:rsid w:val="00686D98"/>
    <w:rsid w:val="0069701D"/>
    <w:rsid w:val="006A0353"/>
    <w:rsid w:val="006D7777"/>
    <w:rsid w:val="006E05DD"/>
    <w:rsid w:val="007408FE"/>
    <w:rsid w:val="00751DC7"/>
    <w:rsid w:val="00776807"/>
    <w:rsid w:val="0079220C"/>
    <w:rsid w:val="007A352B"/>
    <w:rsid w:val="007B74F9"/>
    <w:rsid w:val="007D3E49"/>
    <w:rsid w:val="007F1AC1"/>
    <w:rsid w:val="007F252E"/>
    <w:rsid w:val="00803047"/>
    <w:rsid w:val="00805196"/>
    <w:rsid w:val="00815103"/>
    <w:rsid w:val="0083056D"/>
    <w:rsid w:val="00847A71"/>
    <w:rsid w:val="00850AC5"/>
    <w:rsid w:val="00852457"/>
    <w:rsid w:val="00857090"/>
    <w:rsid w:val="008650E4"/>
    <w:rsid w:val="00896E17"/>
    <w:rsid w:val="008A31F8"/>
    <w:rsid w:val="008B1AA9"/>
    <w:rsid w:val="008C0593"/>
    <w:rsid w:val="008D7C5B"/>
    <w:rsid w:val="008E77D2"/>
    <w:rsid w:val="00906C23"/>
    <w:rsid w:val="00927EB0"/>
    <w:rsid w:val="00927EB7"/>
    <w:rsid w:val="009359A0"/>
    <w:rsid w:val="0094274F"/>
    <w:rsid w:val="00956EF1"/>
    <w:rsid w:val="00971A4F"/>
    <w:rsid w:val="00977381"/>
    <w:rsid w:val="00980415"/>
    <w:rsid w:val="009C624C"/>
    <w:rsid w:val="009E4CA8"/>
    <w:rsid w:val="00A03151"/>
    <w:rsid w:val="00A25FBC"/>
    <w:rsid w:val="00A8197B"/>
    <w:rsid w:val="00A86646"/>
    <w:rsid w:val="00A91D1C"/>
    <w:rsid w:val="00AA7AF7"/>
    <w:rsid w:val="00AF0D8C"/>
    <w:rsid w:val="00AF3FD5"/>
    <w:rsid w:val="00AF5363"/>
    <w:rsid w:val="00AF7454"/>
    <w:rsid w:val="00B2233C"/>
    <w:rsid w:val="00B27AAC"/>
    <w:rsid w:val="00B51821"/>
    <w:rsid w:val="00B55CEB"/>
    <w:rsid w:val="00B60E8A"/>
    <w:rsid w:val="00B67D18"/>
    <w:rsid w:val="00B70589"/>
    <w:rsid w:val="00B71987"/>
    <w:rsid w:val="00B76806"/>
    <w:rsid w:val="00B94A44"/>
    <w:rsid w:val="00BB36B4"/>
    <w:rsid w:val="00BF54BC"/>
    <w:rsid w:val="00C46EDA"/>
    <w:rsid w:val="00C5780C"/>
    <w:rsid w:val="00C57E92"/>
    <w:rsid w:val="00C72B5A"/>
    <w:rsid w:val="00C91546"/>
    <w:rsid w:val="00C91E77"/>
    <w:rsid w:val="00CB3942"/>
    <w:rsid w:val="00CB5329"/>
    <w:rsid w:val="00CC5D33"/>
    <w:rsid w:val="00CE015C"/>
    <w:rsid w:val="00CF1CB1"/>
    <w:rsid w:val="00D23C01"/>
    <w:rsid w:val="00D264AC"/>
    <w:rsid w:val="00D324FC"/>
    <w:rsid w:val="00D36E9A"/>
    <w:rsid w:val="00D515F8"/>
    <w:rsid w:val="00D5777F"/>
    <w:rsid w:val="00DD0A8F"/>
    <w:rsid w:val="00E20A2F"/>
    <w:rsid w:val="00E46E38"/>
    <w:rsid w:val="00E50676"/>
    <w:rsid w:val="00ED7730"/>
    <w:rsid w:val="00F011AC"/>
    <w:rsid w:val="00F012CB"/>
    <w:rsid w:val="00F0319D"/>
    <w:rsid w:val="00F07CAC"/>
    <w:rsid w:val="00F16016"/>
    <w:rsid w:val="00F23EBE"/>
    <w:rsid w:val="00F27609"/>
    <w:rsid w:val="00F301E3"/>
    <w:rsid w:val="00F83E8B"/>
    <w:rsid w:val="00F8720D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CBA4"/>
  <w15:chartTrackingRefBased/>
  <w15:docId w15:val="{8A23E7C1-D617-4783-A2F8-87F3DFA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0C498B"/>
    <w:rPr>
      <w:b/>
    </w:rPr>
  </w:style>
  <w:style w:type="character" w:customStyle="1" w:styleId="Style1Char">
    <w:name w:val="Style1 Char"/>
    <w:basedOn w:val="Heading1Char"/>
    <w:link w:val="Style1"/>
    <w:rsid w:val="000C498B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C4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46E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E38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E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E46E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E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E38"/>
  </w:style>
  <w:style w:type="paragraph" w:styleId="Footer">
    <w:name w:val="footer"/>
    <w:basedOn w:val="Normal"/>
    <w:link w:val="FooterChar"/>
    <w:uiPriority w:val="99"/>
    <w:unhideWhenUsed/>
    <w:rsid w:val="00E46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E38"/>
  </w:style>
  <w:style w:type="table" w:styleId="TableGrid">
    <w:name w:val="Table Grid"/>
    <w:basedOn w:val="TableNormal"/>
    <w:uiPriority w:val="39"/>
    <w:rsid w:val="0080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2C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68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.uow.edu.au/jutl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etl.org/ijtlh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D19B44CEB84096BF732DE0C55A0F" ma:contentTypeVersion="2373" ma:contentTypeDescription="Create a new document." ma:contentTypeScope="" ma:versionID="893763ede173a64d1d274252a41ae1b2">
  <xsd:schema xmlns:xsd="http://www.w3.org/2001/XMLSchema" xmlns:xs="http://www.w3.org/2001/XMLSchema" xmlns:p="http://schemas.microsoft.com/office/2006/metadata/properties" xmlns:ns1="http://schemas.microsoft.com/sharepoint/v3" xmlns:ns2="b3b59848-949a-4ed4-8036-feb011ce2b52" xmlns:ns3="37d47695-dda2-48a2-87bc-2a1f7ac7fedc" targetNamespace="http://schemas.microsoft.com/office/2006/metadata/properties" ma:root="true" ma:fieldsID="e9673881d9736d6cb1ca37eed258e20f" ns1:_="" ns2:_="" ns3:_="">
    <xsd:import namespace="http://schemas.microsoft.com/sharepoint/v3"/>
    <xsd:import namespace="b3b59848-949a-4ed4-8036-feb011ce2b52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9848-949a-4ed4-8036-feb011ce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C544-D030-4891-9446-D5F9E38CCBF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7d47695-dda2-48a2-87bc-2a1f7ac7fedc"/>
    <ds:schemaRef ds:uri="http://purl.org/dc/terms/"/>
    <ds:schemaRef ds:uri="http://purl.org/dc/dcmitype/"/>
    <ds:schemaRef ds:uri="http://schemas.microsoft.com/office/infopath/2007/PartnerControls"/>
    <ds:schemaRef ds:uri="b3b59848-949a-4ed4-8036-feb011ce2b5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BF61CA5-7BE7-4D56-B445-746894AC7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93DE-E070-4C74-93F5-2AD870B50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59848-949a-4ed4-8036-feb011ce2b52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67490-CF86-4BA3-83F9-EC821FD7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Bridges</dc:creator>
  <cp:keywords/>
  <dc:description/>
  <cp:lastModifiedBy>User</cp:lastModifiedBy>
  <cp:revision>2</cp:revision>
  <dcterms:created xsi:type="dcterms:W3CDTF">2021-06-03T03:37:00Z</dcterms:created>
  <dcterms:modified xsi:type="dcterms:W3CDTF">2021-06-03T03:37:00Z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0x01010022A2D19B44CEB84096BF732DE0C55A0F</vt:lpwstr>
  </property>
</Properties>
</file>